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32E56" w:rsidRDefault="00B420E7">
      <w:pPr>
        <w:rPr>
          <w:rFonts w:ascii="Arial" w:hAnsi="Arial" w:cs="Arial"/>
          <w:b/>
          <w:szCs w:val="20"/>
          <w:shd w:val="clear" w:color="auto" w:fill="FFFFFF"/>
        </w:rPr>
      </w:pPr>
      <w:r w:rsidRPr="00B420E7">
        <w:rPr>
          <w:rStyle w:val="Gl"/>
          <w:rFonts w:ascii="Arial" w:hAnsi="Arial" w:cs="Arial"/>
          <w:color w:val="2A2A2A"/>
          <w:sz w:val="21"/>
          <w:szCs w:val="21"/>
          <w:highlight w:val="yellow"/>
          <w:shd w:val="clear" w:color="auto" w:fill="FFFFFF"/>
        </w:rPr>
        <w:t>Articles:</w:t>
      </w:r>
      <w:r w:rsidRPr="00B420E7">
        <w:rPr>
          <w:rFonts w:ascii="Arial" w:hAnsi="Arial" w:cs="Arial"/>
          <w:b/>
          <w:bCs/>
          <w:color w:val="2A2A2A"/>
          <w:sz w:val="21"/>
          <w:szCs w:val="21"/>
          <w:highlight w:val="yellow"/>
          <w:shd w:val="clear" w:color="auto" w:fill="FFFFFF"/>
        </w:rPr>
        <w:br/>
      </w:r>
      <w:r w:rsidRPr="00B420E7">
        <w:rPr>
          <w:rFonts w:ascii="Arial" w:hAnsi="Arial" w:cs="Arial"/>
          <w:b/>
          <w:szCs w:val="20"/>
          <w:highlight w:val="yellow"/>
          <w:shd w:val="clear" w:color="auto" w:fill="FFFFFF"/>
        </w:rPr>
        <w:t>The Treaty of Nanking</w:t>
      </w:r>
      <w:r w:rsidRPr="00B420E7">
        <w:rPr>
          <w:rFonts w:ascii="Arial" w:hAnsi="Arial" w:cs="Arial"/>
          <w:b/>
          <w:szCs w:val="20"/>
          <w:highlight w:val="yellow"/>
          <w:shd w:val="clear" w:color="auto" w:fill="FFFFFF"/>
        </w:rPr>
        <w:br/>
      </w:r>
      <w:r w:rsidRPr="00B420E7">
        <w:rPr>
          <w:rFonts w:ascii="Arial" w:hAnsi="Arial" w:cs="Arial"/>
          <w:b/>
          <w:szCs w:val="20"/>
          <w:highlight w:val="yellow"/>
          <w:shd w:val="clear" w:color="auto" w:fill="FFFFFF"/>
        </w:rPr>
        <w:t>Responsibility to the Dead</w:t>
      </w:r>
      <w:r w:rsidRPr="00B420E7">
        <w:rPr>
          <w:rFonts w:ascii="Arial" w:hAnsi="Arial" w:cs="Arial"/>
          <w:b/>
          <w:szCs w:val="20"/>
          <w:highlight w:val="yellow"/>
          <w:shd w:val="clear" w:color="auto" w:fill="FFFFFF"/>
        </w:rPr>
        <w:br/>
      </w:r>
      <w:r w:rsidRPr="00B420E7">
        <w:rPr>
          <w:rFonts w:ascii="Arial" w:hAnsi="Arial" w:cs="Arial"/>
          <w:b/>
          <w:szCs w:val="20"/>
          <w:highlight w:val="yellow"/>
          <w:shd w:val="clear" w:color="auto" w:fill="FFFFFF"/>
        </w:rPr>
        <w:t>Is History a Science</w:t>
      </w:r>
      <w:r w:rsidRPr="00B420E7">
        <w:rPr>
          <w:rFonts w:ascii="Arial" w:hAnsi="Arial" w:cs="Arial"/>
          <w:b/>
          <w:szCs w:val="21"/>
          <w:highlight w:val="yellow"/>
        </w:rPr>
        <w:br/>
      </w:r>
      <w:r w:rsidRPr="00B420E7">
        <w:rPr>
          <w:rFonts w:ascii="Arial" w:hAnsi="Arial" w:cs="Arial"/>
          <w:b/>
          <w:szCs w:val="20"/>
          <w:highlight w:val="yellow"/>
          <w:shd w:val="clear" w:color="auto" w:fill="FFFFFF"/>
        </w:rPr>
        <w:t>Is this History?</w:t>
      </w:r>
      <w:r w:rsidRPr="00B420E7">
        <w:rPr>
          <w:rFonts w:ascii="Arial" w:hAnsi="Arial" w:cs="Arial"/>
          <w:b/>
          <w:szCs w:val="20"/>
          <w:highlight w:val="yellow"/>
          <w:shd w:val="clear" w:color="auto" w:fill="FFFFFF"/>
        </w:rPr>
        <w:br/>
      </w:r>
      <w:r w:rsidRPr="00B420E7">
        <w:rPr>
          <w:rFonts w:ascii="Arial" w:hAnsi="Arial" w:cs="Arial"/>
          <w:b/>
          <w:szCs w:val="20"/>
          <w:highlight w:val="yellow"/>
          <w:shd w:val="clear" w:color="auto" w:fill="FFFFFF"/>
        </w:rPr>
        <w:t>The Net isn't that Important</w:t>
      </w:r>
      <w:r w:rsidRPr="00B420E7">
        <w:rPr>
          <w:rFonts w:ascii="Arial" w:hAnsi="Arial" w:cs="Arial"/>
          <w:b/>
          <w:szCs w:val="20"/>
          <w:highlight w:val="yellow"/>
          <w:shd w:val="clear" w:color="auto" w:fill="FFFFFF"/>
        </w:rPr>
        <w:br/>
      </w:r>
      <w:r w:rsidRPr="00B420E7">
        <w:rPr>
          <w:rFonts w:ascii="Arial" w:hAnsi="Arial" w:cs="Arial"/>
          <w:b/>
          <w:szCs w:val="20"/>
          <w:highlight w:val="yellow"/>
          <w:shd w:val="clear" w:color="auto" w:fill="FFFFFF"/>
        </w:rPr>
        <w:t>Re-evaluating Captain Scott</w:t>
      </w:r>
      <w:r w:rsidRPr="00B420E7">
        <w:rPr>
          <w:rFonts w:ascii="Arial" w:hAnsi="Arial" w:cs="Arial"/>
          <w:b/>
          <w:szCs w:val="21"/>
          <w:highlight w:val="yellow"/>
        </w:rPr>
        <w:br/>
      </w:r>
      <w:r w:rsidRPr="00B420E7">
        <w:rPr>
          <w:rFonts w:ascii="Arial" w:hAnsi="Arial" w:cs="Arial"/>
          <w:b/>
          <w:szCs w:val="20"/>
          <w:highlight w:val="yellow"/>
          <w:shd w:val="clear" w:color="auto" w:fill="FFFFFF"/>
        </w:rPr>
        <w:t>Why Teach History?</w:t>
      </w:r>
    </w:p>
    <w:p w:rsidR="00B420E7" w:rsidRDefault="00B420E7">
      <w:pPr>
        <w:rPr>
          <w:rFonts w:ascii="Arial" w:hAnsi="Arial" w:cs="Arial"/>
          <w:b/>
          <w:szCs w:val="20"/>
          <w:shd w:val="clear" w:color="auto" w:fill="FFFFFF"/>
        </w:rPr>
      </w:pPr>
    </w:p>
    <w:p w:rsidR="00B420E7" w:rsidRDefault="00B420E7">
      <w:pPr>
        <w:rPr>
          <w:rFonts w:ascii="Arial" w:hAnsi="Arial" w:cs="Arial"/>
          <w:b/>
          <w:szCs w:val="20"/>
          <w:shd w:val="clear" w:color="auto" w:fill="FFFFFF"/>
        </w:rPr>
      </w:pPr>
    </w:p>
    <w:p w:rsidR="00B420E7" w:rsidRPr="00B420E7" w:rsidRDefault="00B420E7" w:rsidP="00B420E7">
      <w:pPr>
        <w:jc w:val="center"/>
        <w:rPr>
          <w:rFonts w:ascii="Cambria" w:eastAsia="Times New Roman" w:hAnsi="Cambria" w:cs="Times New Roman"/>
          <w:color w:val="000000"/>
          <w:sz w:val="27"/>
          <w:szCs w:val="27"/>
          <w:lang w:eastAsia="tr-TR"/>
        </w:rPr>
      </w:pPr>
      <w:r w:rsidRPr="00B420E7">
        <w:rPr>
          <w:rFonts w:ascii="Arial" w:hAnsi="Arial" w:cs="Arial"/>
          <w:b/>
          <w:szCs w:val="20"/>
          <w:highlight w:val="yellow"/>
          <w:shd w:val="clear" w:color="auto" w:fill="FFFFFF"/>
        </w:rPr>
        <w:t>The Treaty of Nanking</w:t>
      </w:r>
      <w:r w:rsidRPr="00B420E7">
        <w:rPr>
          <w:rFonts w:ascii="Arial" w:hAnsi="Arial" w:cs="Arial"/>
          <w:b/>
          <w:szCs w:val="20"/>
          <w:highlight w:val="yellow"/>
          <w:shd w:val="clear" w:color="auto" w:fill="FFFFFF"/>
        </w:rPr>
        <w:br/>
      </w:r>
      <w:r w:rsidRPr="00B420E7">
        <w:rPr>
          <w:rFonts w:ascii="Arial" w:eastAsia="Times New Roman" w:hAnsi="Arial" w:cs="Arial"/>
          <w:b/>
          <w:bCs/>
          <w:color w:val="000000"/>
          <w:sz w:val="27"/>
          <w:szCs w:val="27"/>
          <w:lang w:eastAsia="tr-TR"/>
        </w:rPr>
        <w:t>The Treaty Nanking - Big Deal</w:t>
      </w:r>
    </w:p>
    <w:p w:rsidR="00B420E7" w:rsidRPr="00B420E7" w:rsidRDefault="00B420E7" w:rsidP="00B420E7">
      <w:pPr>
        <w:spacing w:after="0" w:line="240" w:lineRule="auto"/>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The Treaty of Nanking was  signed 170 years ago and, although its anniversary won't be marked by many, its legacy remains highly charged in the post-colonial era. Stuart Heaver reports. This report is taken from Post Magazine’s 26</w:t>
      </w:r>
      <w:r w:rsidRPr="00B420E7">
        <w:rPr>
          <w:rFonts w:ascii="Arial" w:eastAsia="Times New Roman" w:hAnsi="Arial" w:cs="Arial"/>
          <w:color w:val="000000"/>
          <w:sz w:val="20"/>
          <w:szCs w:val="20"/>
          <w:vertAlign w:val="superscript"/>
          <w:lang w:eastAsia="tr-TR"/>
        </w:rPr>
        <w:t>th</w:t>
      </w:r>
      <w:r w:rsidRPr="00B420E7">
        <w:rPr>
          <w:rFonts w:ascii="Arial" w:eastAsia="Times New Roman" w:hAnsi="Arial" w:cs="Arial"/>
          <w:color w:val="000000"/>
          <w:sz w:val="20"/>
          <w:szCs w:val="20"/>
          <w:lang w:eastAsia="tr-TR"/>
        </w:rPr>
        <w:t> August 2012 edition.</w:t>
      </w:r>
    </w:p>
    <w:p w:rsidR="00B420E7" w:rsidRPr="00B420E7" w:rsidRDefault="00B420E7" w:rsidP="00B420E7">
      <w:pPr>
        <w:spacing w:after="0" w:line="240" w:lineRule="auto"/>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rPr>
          <w:rFonts w:ascii="Cambria" w:eastAsia="Times New Roman" w:hAnsi="Cambria" w:cs="Times New Roman"/>
          <w:color w:val="000000"/>
          <w:sz w:val="27"/>
          <w:szCs w:val="27"/>
          <w:lang w:eastAsia="tr-TR"/>
        </w:rPr>
      </w:pPr>
      <w:r w:rsidRPr="00B420E7">
        <w:rPr>
          <w:rFonts w:ascii="Arial" w:eastAsia="Times New Roman" w:hAnsi="Arial" w:cs="Arial"/>
          <w:b/>
          <w:bCs/>
          <w:color w:val="000000"/>
          <w:sz w:val="20"/>
          <w:szCs w:val="20"/>
          <w:lang w:eastAsia="tr-TR"/>
        </w:rPr>
        <w:t>A brief history of war:</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The Treaty of Nanking, signed on board British ship HMS Cornwallis on August 29, 1842, ended the first opium war (1839-1842). The war was fought between the British Empire and Qing dynasty China, in a dispute rooted in trade, diplomacy and drugs.</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The hostilities were painfully one-sided; ancient weaponry, poor communications and under-equipped soldiers proved no match for battle-hardened British forces fighting with the best technology of the day. The treaty is regarded by the Chinese as an unequal agreement forced on it by the British, who were determined to open China to free trade. The war was not universally supported in Britain, either.</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The treaty contained 13 sections, including the designation of five new treaty ports and the payment of considerable reparations to Britain. It was section three that ceded Hong Kong to Great Britain, although the island had been a de-facto possession of the British since January 1841, when HMS Sulphur landed troops at Possession Point, now a charming park at Hollywood Road. With neither side content with the content of the treaty, increasing friction resulted in the second opium war (1856-1860).</w:t>
      </w:r>
    </w:p>
    <w:p w:rsidR="00B420E7" w:rsidRPr="00B420E7" w:rsidRDefault="00B420E7" w:rsidP="00B420E7">
      <w:pPr>
        <w:spacing w:after="0" w:line="240" w:lineRule="auto"/>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rPr>
          <w:rFonts w:ascii="Cambria" w:eastAsia="Times New Roman" w:hAnsi="Cambria" w:cs="Times New Roman"/>
          <w:color w:val="000000"/>
          <w:sz w:val="27"/>
          <w:szCs w:val="27"/>
          <w:lang w:eastAsia="tr-TR"/>
        </w:rPr>
      </w:pPr>
      <w:r w:rsidRPr="00B420E7">
        <w:rPr>
          <w:rFonts w:ascii="Arial" w:eastAsia="Times New Roman" w:hAnsi="Arial" w:cs="Arial"/>
          <w:b/>
          <w:bCs/>
          <w:color w:val="000000"/>
          <w:sz w:val="20"/>
          <w:szCs w:val="20"/>
          <w:lang w:eastAsia="tr-TR"/>
        </w:rPr>
        <w:t>Big Deal</w:t>
      </w:r>
    </w:p>
    <w:p w:rsidR="00B420E7" w:rsidRPr="00B420E7" w:rsidRDefault="00B420E7" w:rsidP="00B420E7">
      <w:pPr>
        <w:spacing w:after="0" w:line="240" w:lineRule="auto"/>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According to Carroll, the legitimacy of the Communist Party is founded on its role as the defender of the Chinese people against foreign imperialist aggression. "The CCP has always seen itself as having ended foreign privilege in China and with it the century of shame.</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"With China changing so quickly now, the CCP needs to hold on more than ever to its claim of having ended imperialism; he says, explaining why the treaty and events surrounding it remain such a touchy subject. “It uses the [opium] war to try and foster patriotism.” Some historians have suggested that the end of colonial Hong Kong threatened the party's legitimacy because it was no longer the vanguard in the struggle against imperialism and oppression. That job is done; now it is reliant on delivering tangible economic prosperity.</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So how should patriotic Hongkongers commemorate the treaty in modern, reunified Hong Kong? Should we calmly acknowledge the quirk of history that meant this small corner of China developed a character of its own and celebrate the difference? Or should we solemnly commemorate the bloodshed caused by an imperial aggressor who forced an unequal treaty on the Qing dynasty and started a century and a half of colonial oppression?</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 xml:space="preserve">“I think it's safe to say that Hong Kong people could see the treaty in both ways,” says Carroll. The Treaty of Nanking (or at least a copy if it, displayed in a glass cabinet - the original is in the National Archives Office in London) is presented in both ways at the Museum of History, in Thim Sha Tsui. The curators have steered a path through any political controversy with skill and diplomacy. The museum explains that the treaty itself contains 13 articles in all but it is section three that declares </w:t>
      </w:r>
      <w:r w:rsidRPr="00B420E7">
        <w:rPr>
          <w:rFonts w:ascii="Arial" w:eastAsia="Times New Roman" w:hAnsi="Arial" w:cs="Arial"/>
          <w:color w:val="000000"/>
          <w:sz w:val="20"/>
          <w:szCs w:val="20"/>
          <w:lang w:eastAsia="tr-TR"/>
        </w:rPr>
        <w:lastRenderedPageBreak/>
        <w:t>“the island of Hong Kong to be possessed in perpetuity by Her Britannic Majesty, her Heirs and Successors.”</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Perhaps in the pursuit of balance, the cabinet containing the treaty is sandwiched between a memorial stone column dedicated to Lord Napier, Britain's first superintendent of trade in China, and an imposing statue of Commissioner Lin Zexu. Lin was the incorruptible official who implemented a ban on the illegal opium trade and is now revered as a hero of the conflict and China's (and possibly the world's) first drugs tsar. “The main point, I suppose, is that because Hong Kong is now part of the PRC, the museum must come up with a history that works for Hong Kong and the PRC. It's not an easy thing to do,” says Carroll.</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The museum refers to the Treaty of Nanking as a ‘watershed’ and that's about as far as it is prepared to venture in terms of the legacy. There is no examination of the trade in illegal narcotics that funded the new colony, the racial discrimination in early colonial Hong Kong, the lack of Chinese representation or the social costs of opium addiction.</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“If you say bad things about the British or colonial government then it becomes easy to say bad things about SAR and PRC governments. It's much easier for them just not to be critical at all," says Carroll.</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A short ferry trip north up the Pearl River to Humen, in Guangdong province, takes you to the impressive Sea Battle Museum, built in the 1990s. The contrast in historica1 style with our Museum of History could not be starker. Here there is clear evidence of the party using the opium war to foster patriotic fervour. According to the official guidebook, the museum “combines commemoration, education and recreation into one, is an important part of the base of Humen Fortress patriotism education [sic]”</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On entering the building, which rises like a space-age cathedral in a Hollywood sci-fi blockbuster, the preface - written in Chinese and English - reads: “The British colonialists directed their aggressive target to China, attempting to open the door of China by contemptible means of armed invasion and opium smuggling … The conspiracy of the British bourgeoisie was smashed by Chinese success in banning opium.”</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And there are several references to Hong Kong, including a special exhibit dedicated to the reunification</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titled: “The handing back of Hong Kong avenges the 100 year insult at China.” In the Anti-British fighting of the Chinese people” section of the museum, there is a 1ife-size Madame Tussauds-style reconstruction of the Battle of Humen featuring a Chinese soldier in a blood-stained singlet kneeling on a prostrate British invader, throttling him with his left hand while his right is raised, about to land a violent blow for national pride.</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The museum seems popular and on this visit there is a squad of smart People's Liberation Army recruits energetically marching up and down the promenade outside the exhibition halls with a huge red national flag being waved before them. As the guidebook makes clear, this is not just history, this is patriotism (or patriotic) education - and taking a dim view of the British role in the opium wars is an important component of it.</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In Julia Lovell's highly acclaimed book </w:t>
      </w:r>
      <w:r w:rsidRPr="00B420E7">
        <w:rPr>
          <w:rFonts w:ascii="Arial" w:eastAsia="Times New Roman" w:hAnsi="Arial" w:cs="Arial"/>
          <w:i/>
          <w:iCs/>
          <w:color w:val="000000"/>
          <w:sz w:val="20"/>
          <w:szCs w:val="20"/>
          <w:lang w:eastAsia="tr-TR"/>
        </w:rPr>
        <w:t>Opium War: Drugs, Dreams and the Making of China</w:t>
      </w:r>
      <w:r w:rsidRPr="00B420E7">
        <w:rPr>
          <w:rFonts w:ascii="Arial" w:eastAsia="Times New Roman" w:hAnsi="Arial" w:cs="Arial"/>
          <w:color w:val="000000"/>
          <w:sz w:val="20"/>
          <w:szCs w:val="20"/>
          <w:lang w:eastAsia="tr-TR"/>
        </w:rPr>
        <w:t>, she argues that the party invented patriotic education in the crisis following 1989's Tiananmen Square crackdown to bring young people into line. Quite miraculously, patriotic education embraced the 150</w:t>
      </w:r>
      <w:r w:rsidRPr="00B420E7">
        <w:rPr>
          <w:rFonts w:ascii="Arial" w:eastAsia="Times New Roman" w:hAnsi="Arial" w:cs="Arial"/>
          <w:color w:val="000000"/>
          <w:sz w:val="20"/>
          <w:szCs w:val="20"/>
          <w:vertAlign w:val="superscript"/>
          <w:lang w:eastAsia="tr-TR"/>
        </w:rPr>
        <w:t>th</w:t>
      </w:r>
      <w:r w:rsidRPr="00B420E7">
        <w:rPr>
          <w:rFonts w:ascii="Arial" w:eastAsia="Times New Roman" w:hAnsi="Arial" w:cs="Arial"/>
          <w:color w:val="000000"/>
          <w:sz w:val="20"/>
          <w:szCs w:val="20"/>
          <w:lang w:eastAsia="tr-TR"/>
        </w:rPr>
        <w:t> anniversary of the beginning of the opium war, in 1839, to convince the shocked population that the party was still the country's saviour from evil imperialist plots and claim that it was the West that had organised the ill-fated student demonstrations that summer.</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“The opium wars birthday extravaganza was the start of one of the Communist party's most successful postMao ideological campaigns: patriotic education,” writes Lovell. In 1994, the People's Daily described patriotic education as a crusade designed “to boost the nation's spirit, enhance its cohesion, foster its self-esteem and sense of pride.”</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This education includes talking up the achievements of Chinese, stirring films, feel-good sing-songs, compiling lists of heroes and, of course, endless references to the century of humiliation inflicted by foreign imperialism.</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 xml:space="preserve">So, is the national education proposed for Hong Kong - curriculums are set to become compulsory at primary level in 2015 and in secondary schools a year later – an amended version of the system that </w:t>
      </w:r>
      <w:r w:rsidRPr="00B420E7">
        <w:rPr>
          <w:rFonts w:ascii="Arial" w:eastAsia="Times New Roman" w:hAnsi="Arial" w:cs="Arial"/>
          <w:color w:val="000000"/>
          <w:sz w:val="20"/>
          <w:szCs w:val="20"/>
          <w:lang w:eastAsia="tr-TR"/>
        </w:rPr>
        <w:lastRenderedPageBreak/>
        <w:t>has proved so successful for Beijing on the mainland? The question returns us to baking hot Victoria Park.</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“There is not a huge difference between the two,” says Tang, as she and her friends shuffle forward with the crowd, edging towards the government offices in Admiralty, “although I have not yet seen any anti-Western content in the national education curriculum,” she admits.</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“People in the United States are not taught to love the Democratic Party and children in England are not taught to love the queen," says Tang. “And they are certainly not assessed on it.”</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Just a short distance from Tang, a young man is waving a lion and dragon flag. The symbol has been adopted by the Hong Kong City-State Autonomy Movement, which is out in force. “We don't want British rule again but we want to return to those glorious days,” says Mason Ma Yi, a mathematics teacher in a local government school, of the group's choice of flag.</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So will his group be commemorating the Treaty of Nanking? “I didn't know about the anniversary,” he says, “But I do know Hong Kong was founded by the British and not by China.”</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What is his objection to a little Chinese culture and history being incorporated in the school curriculum now that the British are long gone?</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“The Cultural Revolution killed most of the culture in China. Only in Hong Kong and in Taiwan can you still see Chinese culture,” says Ma. “I don't need a lecture from the Communist Party in how to be Chinese. I am Chinese,” he adds defiantly.</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The Education Bureau web site offers some fascinating teaching resources to assist staff grappling with the demands of the national education initiative. These include, “Web resources of Chinese folk songs,” “Military summer camp for Hong Kong youth,” “National flag raising in school” and “understanding of the national anthem” and, of course, “Celebration of reunification and an understanding of the national situation in China”.</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It is hard not to recall the passage from George Orwell's Nineteen Eighty-Four that states “he who controls the past controls the future and he who controls the present controls the past.”</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The treaty as represented by the lion and the dragon and adopted by Ma and his colleagues now symbolises the battle for control of the past and perhaps also signifies the identity crisis suffered by young people in reunified Hong Kong.</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“That's the problem we have. We don't really have an identity but our love for Hong Kong can be reflected in our protests,” says Tang, as the huge crowd engages in enthusiastic chanting.</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The youngest member of the Autonomy Movement at the national education protest is l3-year-old schoolboy Conn Lee. He is proudly waving his flag and his glasses mist over with the effort in such intense heat “I want to be a Hongkonger before I am Chinese,” he says.</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So while the Treaty of Nanking is at the centre of the patriotic education campaign in the post-Tiananmen mainland, it has become a symbol of opposition to what objectors see as the cheap hybrid version of patriotic education about to be introduced in Hong Kong. Perhaps the treaty's lasting legacy is that it leaves many people of Hong Kong with an identity crisis they are struggling to resolve and a sense of pride in their distinctiveness, which they fear isn't being respected by Beijing.</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Either way, with those blue colonial-style flags being waved energetically by demonstrators at mass rallies, the treaty appears to be leaping out of the margins of the history books and onto the front pages of news media.</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Maybe Professor Carroll should have the last word on how best to commemorate a historical event now weighed down with so much political and emotional baggage that it dominates the relationship between Hong Kong and the rest of China. “Do we need to commemorate it at all?” he asks. “It's maybe not the answer you might expect from a historian but I guess the real question is how we decide what to commemorate, and why?”</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Cambria" w:eastAsia="Times New Roman" w:hAnsi="Cambria" w:cs="Times New Roman"/>
          <w:color w:val="000000"/>
          <w:sz w:val="27"/>
          <w:szCs w:val="27"/>
          <w:lang w:eastAsia="tr-TR"/>
        </w:rPr>
      </w:pPr>
      <w:r w:rsidRPr="00B420E7">
        <w:rPr>
          <w:rFonts w:ascii="Arial" w:eastAsia="Times New Roman" w:hAnsi="Arial" w:cs="Arial"/>
          <w:color w:val="000000"/>
          <w:sz w:val="20"/>
          <w:szCs w:val="20"/>
          <w:lang w:eastAsia="tr-TR"/>
        </w:rPr>
        <w:t>In a Hong Kong where many young people are struggling to define their post-colonial identity, where Beijing is trying to redefine its authority and where the Education Bureau seems determined to introduce a controversial programme of national education, those might be the most important questions of all.</w:t>
      </w:r>
    </w:p>
    <w:p w:rsidR="00B420E7" w:rsidRDefault="00B420E7"/>
    <w:p w:rsidR="00B420E7" w:rsidRDefault="00B420E7">
      <w:pPr>
        <w:rPr>
          <w:rFonts w:ascii="Arial" w:hAnsi="Arial" w:cs="Arial"/>
          <w:b/>
          <w:sz w:val="28"/>
          <w:u w:val="single"/>
          <w:shd w:val="clear" w:color="auto" w:fill="FFFFFF"/>
        </w:rPr>
      </w:pPr>
      <w:r w:rsidRPr="00B420E7">
        <w:rPr>
          <w:rFonts w:ascii="Arial" w:hAnsi="Arial" w:cs="Arial"/>
          <w:b/>
          <w:sz w:val="28"/>
          <w:highlight w:val="yellow"/>
          <w:u w:val="single"/>
          <w:shd w:val="clear" w:color="auto" w:fill="FFFFFF"/>
        </w:rPr>
        <w:t>Responsibility to the Dead</w:t>
      </w:r>
    </w:p>
    <w:p w:rsidR="00B420E7" w:rsidRPr="00B420E7" w:rsidRDefault="00B420E7" w:rsidP="00B420E7">
      <w:pPr>
        <w:spacing w:after="0" w:line="240" w:lineRule="auto"/>
        <w:jc w:val="center"/>
        <w:rPr>
          <w:rFonts w:ascii="Times New Roman" w:eastAsia="Times New Roman" w:hAnsi="Times New Roman" w:cs="Times New Roman"/>
          <w:color w:val="000000"/>
          <w:sz w:val="27"/>
          <w:szCs w:val="27"/>
          <w:lang w:eastAsia="tr-TR"/>
        </w:rPr>
      </w:pPr>
      <w:r w:rsidRPr="00B420E7">
        <w:rPr>
          <w:rFonts w:ascii="Arial" w:eastAsia="Times New Roman" w:hAnsi="Arial" w:cs="Arial"/>
          <w:b/>
          <w:bCs/>
          <w:color w:val="000000"/>
          <w:sz w:val="27"/>
          <w:szCs w:val="27"/>
          <w:lang w:eastAsia="tr-TR"/>
        </w:rPr>
        <w:t>Our Responsibility to Dead Lives</w:t>
      </w:r>
    </w:p>
    <w:p w:rsidR="00B420E7" w:rsidRPr="00B420E7" w:rsidRDefault="00B420E7" w:rsidP="00B420E7">
      <w:pPr>
        <w:spacing w:after="0" w:line="240" w:lineRule="auto"/>
        <w:jc w:val="center"/>
        <w:rPr>
          <w:rFonts w:ascii="Times New Roman" w:eastAsia="Times New Roman" w:hAnsi="Times New Roman" w:cs="Times New Roman"/>
          <w:color w:val="000000"/>
          <w:sz w:val="27"/>
          <w:szCs w:val="27"/>
          <w:lang w:eastAsia="tr-TR"/>
        </w:rPr>
      </w:pPr>
      <w:r w:rsidRPr="00B420E7">
        <w:rPr>
          <w:rFonts w:ascii="Arial" w:eastAsia="Times New Roman" w:hAnsi="Arial" w:cs="Arial"/>
          <w:b/>
          <w:bCs/>
          <w:i/>
          <w:iCs/>
          <w:color w:val="000000"/>
          <w:sz w:val="20"/>
          <w:szCs w:val="20"/>
          <w:lang w:eastAsia="tr-TR"/>
        </w:rPr>
        <w:t>Haim and Rivca Gordon</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b/>
          <w:bCs/>
          <w:color w:val="000000"/>
          <w:sz w:val="20"/>
          <w:szCs w:val="20"/>
          <w:lang w:eastAsia="tr-TR"/>
        </w:rPr>
        <w:t>ABSTRACT</w:t>
      </w:r>
      <w:r w:rsidRPr="00B420E7">
        <w:rPr>
          <w:rFonts w:ascii="Arial" w:eastAsia="Times New Roman" w:hAnsi="Arial" w:cs="Arial"/>
          <w:color w:val="000000"/>
          <w:sz w:val="20"/>
          <w:szCs w:val="20"/>
          <w:lang w:eastAsia="tr-TR"/>
        </w:rPr>
        <w:t>: Historical research was one of Jean-Paul Sartre's major concerns. Sartre's biographical studies and thought indicate that history is not only a field in which you gather facts, events, and processes, but it is a worthy challenge which includes a grave personal responsibility: my responsibility to the dead lives that preceded me. Sartre's writings suggest that accepting this responsibility can be a source of wisdom. Few historians, however, view history as transcending the orderly presenting and elucidating of facts, events, and processes. I contend that Sartre's writings suggest a personally enhancing commitment. A lucid and honest response to the challenges and demands of history and the dead lives that preceded my own existence is an engagement that requires courage, wisdom, and thought. The consequences of this commitment for teaching history is discussed.</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Historical research was one of Jean-Paul Sartre's major concerns. Roquentin, the central character of his first novel, Nausea, has chosen the "profession of historian." (1) He comes to Bouville in order to write a history of Monsieur de Rollebon, who was active at the end of the eighteenth and beginning of the nineteenth century. Important documents pertaining to Rollebon's life are in the Bouville library. As the novel develops Roquentin decides—for good reasons—to abandon his historical research, a decision to which we return.</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Unlike Roquentin, Sartre never abandoned the realm of historical research. Quite often he discussed history in his philosophical writings. His plays repeatedly deal with the need to relate authentically, truthfully to history. In addition, Sartre wrote three biographies—of Charles Baudelaire, Jean Genet, and The Family Idiot, a close to three thousand page study of the life of Gustave Flaubert—in which he suggested and presented an approach to studying the life of a specific person within his or her situation. Sartre also wrote abbreviated studies of contemporary history, such as his short book on Castro's Cuba. (2) Consequently, the corpus of Sartre's writings abounds with enlightening insights and ideas on how to study and write history.</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Very few, if any, of Sartre's insights have been transferred to the realm of historical scholarship or of teaching history. Our survey of relevant literature revealed virtually no attempts to learn from Sartre in these fields. Someone may argue that the compartmentalization of scholarship—whereby many, if not most, historians rarely read books by philosophers—may be an important reason for the ignoring of Sartre's insights in the fields of history and teaching history. Yet, we suspect the influence of additional reasons. Sartre's thoughts on history and his writings about the past are very often provoking. They frequently challenge deep rooted assumptions, prevailing superficial ways of thinking, and accepted norms. We suspect that they may aggravate no few researchers. Indeed, Sartre's insights often demand a rethinking of my relationship to specific events in the past, and a reassessment of my attitude to the field of history, be it defined as a story, a science, or a collective memory.</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To be specific, Sartre's biographical studies and thoughts indicate that history is not only a field in which you gather facts, events, and processes so as to reach truths and bring to light knowledge of the past. Studying, reading, and teaching history is a worthy challenge which also includes a grave personal responsibility: My responsibility to the dead lives that preceded me. Lucidly accepting this responsibility, Sartre's writings indicate, can be a source of wisdom. Few historians, however, view history as transcending the orderly presenting and elucidating of facts, events, and processes. What is more, many positivists scorn the idea that any personal responsibilities or any wisdom may be linked to the historian's orderly elucidating of past developments, and objective presentation of past events and processes. They evade, deride, or disparage Sartre's insight that your existence may be enhanced through responding courageously to the challenges of history.</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 xml:space="preserve">We have found Sartre's writings to suggest a personally enhancing commitment: A lucid and honest response to the challenges and demands of history and of the dead lives that preceded my existence is an engagement that requires courage, wisdom, and much thinking. Such a worthy response often leads to new acts of courage or to wise thoughts, thus slowly meliorating your mode of existence. In contrast, a mere gathering, presenting, and linking of facts, events, and processes—which ignores the contradictions that may emerge in history, and the dialectics of its processes—will rarely lead to such a process of personal enhancement. Unfortunately, from our extensive research on Sartre and evil, we </w:t>
      </w:r>
      <w:r w:rsidRPr="00B420E7">
        <w:rPr>
          <w:rFonts w:ascii="Arial" w:eastAsia="Times New Roman" w:hAnsi="Arial" w:cs="Arial"/>
          <w:color w:val="000000"/>
          <w:sz w:val="20"/>
          <w:szCs w:val="20"/>
          <w:lang w:eastAsia="tr-TR"/>
        </w:rPr>
        <w:lastRenderedPageBreak/>
        <w:t>learned that few people choose to follow Sartre's wisdom and his demands to be courageous and thoughtful—in relating to history as in other fields that he addressed. (3)</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In this essay we modestly hope to contribute to a marginal altering of this sad, and yes, sordid state of affairs by discussing Sartre's views on one area related to research in and teaching of history: our responsibility to dead lives.</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Herodotus opens The Histories with the statement that his researches "are here set down to preserve the memory of the past by putting on record the astonishing achievements both of our own and of other peoples." (4) Livy writes in the first paragraph of The Early History of Rome that he will find satisfaction in contributing "to the labour of putting on record the story of the greatest nation in the world." (5) Both historians conveyed a tenet central to Sartre's ontology: Those who are living are responsible that the deeds and words of the dead —indeed, their freedom—will not pass into oblivion. Sartre indicates that this responsibility is ontic; it is linked to the distinctiveness of a dead life.</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The unique characteristic of a dead life is that it is a life of which the Other makes himself the guardian. This does not mean simply that the Other preserves the life of the "deceased" by effecting an explicit, cognitive reconstruction of it. Quite the contrary, such a reconstruction is only one of the possible attitudes of the other in relation to the dead life; ... a "reconstructed life" ... is a particular destiny which is going to mark some lives to the exclusion of others ... To be forgotten is, in fact, to be resolutely apprehended forever as one element dissolved into a mass (the "great feudal lords of the thirteenth century," the "bourgeois Whigs" of the eighteenth, the "Soviet officials," etc.); it is in no way to be annihilated, but it is to lose one's personal existence in order to be constituted with others in a collective existence. (6)</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According to Sartre's ontology, as a living person you must establish your relation to the dead lives. This relation may vary. One person may glorify certain dead lives, another may relate to all dead lives with indifference. Whatever your choice, one thing is evident: this glorifying or this indifference will always be a component and reflect your daily decisions and the life project that you have chosen. In short, there is no escape from establishing a relationship to the dead. They will always be there, confronting you directly or far off on the horizon of your being. "In its upsurge into being, the for-itself must assume a position in relation to the dead; his initial project organizes them into large anonymous masses or as distinct individualities." (7)</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In the past few decades, feminists have justly argued that for centuries historians researched and taught a purposely skewed version of the past which emphasized the prevailing rule of patriarchy. In this skewed version the lives of dead women were organized in "large anonymous masses" to which you could easily relate with indifference; furthermore, many worthy women's "distinct individualities" were purposely disregarded. Consequently, throngs of remarkable women lost their "personal existence in order to be constituted with others in a collective existence." The very many enlightening historical studies describing outstanding women that have been published in the past few decades testifies to the distortion of historical research and teaching that prevailed until the rise of feminism. Such scholarship is a wise manner, adopted by those who are now alive, to assume the guardianship of many dead lives of worthy women and record it for coming generations. It is also a countering of the sexist view of society and history that reigned for millennia, and a changing of some of the basic concepts that dominated historical research.</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Someone may ask: How does Sartre's emphasis on responsibility for dead lives deal with the apothegm, acknowledged by many thinkers and historians, that each generation creates its own history or, better, its own interpretation of history? What is more, some scholars have noted that history is always written by the victors. If such is true, what are my responsibilities to dead lives of the recent and remote past? And even if I accept Sartre's ontic description of my responsibility for the dead, what, if any, are its implications for historical research and for teaching history?</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 xml:space="preserve">In his plays Altona and Dirty Hands, and in other writings, Sartre has challenged the maxim that each generation creates its own interpretation of history. (8) He also firmly rejected the apothegm that history is written by the victors. He held that historical research discloses truths so as to obtain knowledge; it is not a realm of relative judgements. We want to be clear. Sartre knows that rulers and influential individuals of each generation, like the father in Altona, will attempt to find justifications in the past for their current policies and choices. They will therefore frequently rewrite history or choose an appropriate or even false interpretation of history so as to serve their immediate interests. History based on the oppressive values of patriarchy, as it was written for millennia, is just one of many examples. Yet, Sartre points out repeatedly in Being and Nothingness, such acts of bad faith are also performed by individual consciousnesses. For instance, months or years after, say, Pierre joined the Society of Jesus, he may </w:t>
      </w:r>
      <w:r w:rsidRPr="00B420E7">
        <w:rPr>
          <w:rFonts w:ascii="Arial" w:eastAsia="Times New Roman" w:hAnsi="Arial" w:cs="Arial"/>
          <w:color w:val="000000"/>
          <w:sz w:val="20"/>
          <w:szCs w:val="20"/>
          <w:lang w:eastAsia="tr-TR"/>
        </w:rPr>
        <w:lastRenderedPageBreak/>
        <w:t>interpret a failed love affair as a divine sign without which he would not have decided to become a Jesuit. However, in moments of authenticity and lucidity Pierre will discern that he is merely constructing his personal history so as to explain and justify his later choices. In researching and writing history, therefore, you must always beware not to fall into bad faith and interpret prior events so as to justify and explain later choices and deeds.</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Sartre also knows that very often the victors write a distorted history so as to support their actions that led to the victory. A major example is the brutal conquest of North and South America by the Europeans in the past five hundred years. For four centuries this cruel European onslaught upon the indigenous population of "The New World" was almost always described as a triumph of culture, true faith, progress, and enlightenment. Only in the past half century has this history of greed and oppression, especially in Latin America, begun to be written with the lurid details of all its evil and wickedness.—This new historical writing, which unfortunately is not broadly accepted, is definitely not from the perspective of the bizarre European victors. (9)</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Sartre would agree that such a distorted writing occurs even in relation to defeats. It is much easier to write a false history of a defeat if the country that suffered the defeat is still powerful enough to encourage and support such distortions. Among the many example of such sordid distortions are the writings of United States mainstream historian son the their country's involvement in the Vietnam war. Many of these" highly qualified" academics choose not to report the vast crimes against humanity that the United States military performed in the course of the war. The dead lives of the two million Vietnamese who fought against and suffered because of the wicked United States military oppression hardly concern these academics. (10) Sartre's two mentioned plays firmly hold that such deceitful approaches to history are evil; they poignantly describe the depth of such evil and its ruinous effects for all involved.</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Indeed, Altona and Dirty Hands and many of Sartre's other writings resolutely indicate that an authentic responsibility toward the dead must include a responsibility for the truth about these dead lives—even if that truth is cruel, harsh, embarrassing, or painful. If you act as if each generation creates its own interpretation of history, or as if history is a story written by the victors, your regard for the truth about the lives of the dead vanishes, as does your concern for truth as guiding your daily life. Furthermore, Altona and Dirty Hands show that by such disregard you give way to banal and evil approaches. Respect for facts disappears. Cynicism very often thrives. Genuine knowledge is banished to the sidelines. Frequently, bewitching myths and loathsome fantasies based on partial truths prevail unchallenged. In short, if you deliberately distort history, an accepted pseudo-knowledge and ruinous attitudes taint all your relationships: to yourself, to other persons, and to the world.</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Note that responsibility toward dead lives is part of Sartre's overall understanding of our responsibility in the world. Central to this responsibility is respect for the freedom of others and the willingness to struggle that this freedom will not be abused or destroyed. Altona and Dirty Hands clearly indicate that a person's death in no way relieves me of my responsibility to respect that person's freedom which existed on earth until his or her death, and to struggle that the memory of this freedom will not be distorted or destroyed. In Altona, Franz cannot flee from his deliberately destroying the freedom of the Russian peasant prisoners whom he tortured and slowly killed in Smolensk, even if these peasants are dead and buried for a decade and a half. Franz's guilt exists and is a crucial truth of his history and adult life. In Dirty Hands, Hugo is willing to die so that the truth about the dead Hoederer's freedom and deeds will not be erased from history. By assuming responsibility for Hoederer's death— even if he himself has to die for such a decision --Hugo is also assuming responsibility for the world as a place where truth deserves to be heard and known by all and sundry. This point deserves to be emphasized. Through his courageous decision to respect the dead Hoederer, Hugo is helping to create a world where truth is not erased from history so as to serve the current interests of banal politicians and narrow adherents to the communist (or any other) party line.</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 xml:space="preserve">Thus, our responsibility for the truth about dead lives and for the world must be central to historical research and teaching history. The truth about the oppression of women for millennia must not be camouflaged or explained away. The truth about the despicable horrors of the European conquest of the Americas must not be concealed. Disclosing these truths while teaching history helps the student assume responsibility for the world. Of course, Sartre knows that in many instances the entire truth is unavailable and hence the historian must interpolate or interpret on the basis of the limited knowledge obtainable. In the biographies that he wrote, and especially in the lengthy biography of Gustave Flaubert, he often pointed out where facts were lacking and he was forced to interpret or interpolate on the basis of the partial knowledge that exists. Sartre indicates, however, that these interpretations and interpolations must always be incorporated into the historian's attempts to present </w:t>
      </w:r>
      <w:r w:rsidRPr="00B420E7">
        <w:rPr>
          <w:rFonts w:ascii="Arial" w:eastAsia="Times New Roman" w:hAnsi="Arial" w:cs="Arial"/>
          <w:color w:val="000000"/>
          <w:sz w:val="20"/>
          <w:szCs w:val="20"/>
          <w:lang w:eastAsia="tr-TR"/>
        </w:rPr>
        <w:lastRenderedPageBreak/>
        <w:t>the truth, the whole truth, and nothing but the truth. Put succinctly, a truthful presentation is the major responsibility of the historian and the teacher of history to the dead lives that he studies and describes.</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You still haven't convinced me, someone may say. Isn't it true that the moment you adopt a feminist approach in relating to the dead lives of women of the past, your entire concept of historical research must change? Truths and knowledge pertaining to the role of women in history must be added, analysed, and integrated into your historical presentation. Won't these truths and knowledge alter your interpretation of history? And won't these changed interpretations be unique to the generation that rebels against the patriarchal principles that for a long period have been accepted in historical research?</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Of course, the discovery of new data, the correcting of previous mistakes, and the acceptance of better principles and methods of historical research will lead to new interpretations of a historical period, or of a dead life. These changes are part of the historian's authentic pursuit of truth and knowledge. It also may happen that improved principles of historical research are adopted because of a change for the better in values and norms in academia and society at large. These principles can lead to an unearthing of previously ignored data, which can bring about, dialectically, a better appreciation of and deeper adherence to the principles. As already noted, one such change and dialectical development in reading and writing history was brought about by the adoption of the tenets of feminism. Another new interpretation revealed the horrors and evils of the five hundred year European conquest of North and South America.</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Sartre clearly indicated that there is a stark difference between adopting a new interpretation of history as part of an ongoing pursuit of knowledge and truth, or as a result of my struggling for a more just way of life, and, in contrast, adopting a new interpretation because it is politically useful, or personally gratifying, or assists in my attempts to justify previous or current decisions. He believed that his biography of Gustave Flaubert enriches our knowledge of the life of the author and his period, because he related to the data with new principles and methods of research that he formulated and embraced: the initial project, the progressive-regressive method, etc. (11) He firmly held that his new interpretation of Flaubert's freedom and existence adds to our knowledge of Gustave's personality, his family, his milieu, and his period.</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As an example note that Sartre's endeavors for almost two decades to learn about the life of Flaubert through strenuous historical research, helped by the adoption of new methods, are sharply distinguished from, say, the almost yearly reinterpretations of history that were published by the communist party in the former Soviet Union. These reinterpretations were blatant deceit. Neither truth nor knowledge interested the communist authors of such interpretations. What concerned them was to publish historical presentations which lent support to the then prevailing policies of the party and the Soviet regime. Such purposeful distortions of history were strictly condemned by Sartre in Dirty Hands and in other writings. (12) We should add that these acts of deceit by kowtowing Soviet historians were quite similar to Franz's attempts in Altona to mendaciously reconstruct the sad history of his time for listeners to his tapes in the thirtieth century, so as to justify his terrible crimes.</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Thus, Sartre's writings suggest, a new interpretation of a dead life, or of many dead lives, should never betray factual truths. Such a betrayal is evil, it is a destruction of the freedom of past dead lives. In contrast, a new interpretation of an historical person, event, or period is important and justified when it helps us perceive the pertaining truths more lucidly and adds to our knowledge. It is also valuable when, by broadening and deepening our historical knowledge, it helps us to support and sustain a struggle for a more just world.</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It should not surprise that Sartre believes that his ontology of responsibility, which includes responsibility for dead lives, can serve as the basis of an ethics. Toward the end of Being and Nothingness he presents pertinent reflections:</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The essential consequence of our earlier remarks is that man being condemned to be free carries the weight of the whole world on his shoulders; he is responsible for the world and for himself as a way of being. We are taking the word "responsibility" in its ordinary sense as "consciousness (of) being the incontestable author of an event or of an object." In this sense the responsibility of the for-itself is overwhelming since he is the one by whom it happens that there is a world; ... (13)</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 xml:space="preserve">Sartre's reflections suggest a bond of responsibility linked to the teaching of history. Not only the persons, or nations, or other groups of people studied by the historian should be grasped as responsible for their world and way of being. The teacher of history must stress that my decision how to relate to the dead lives that preceded mine or died during my existence is a component of my being "responsible for the world" and for myself "as a way of being." It is also a decision about how human beings should, </w:t>
      </w:r>
      <w:r w:rsidRPr="00B420E7">
        <w:rPr>
          <w:rFonts w:ascii="Arial" w:eastAsia="Times New Roman" w:hAnsi="Arial" w:cs="Arial"/>
          <w:color w:val="000000"/>
          <w:sz w:val="20"/>
          <w:szCs w:val="20"/>
          <w:lang w:eastAsia="tr-TR"/>
        </w:rPr>
        <w:lastRenderedPageBreak/>
        <w:t>today and in the future, live together in the world. When the philosopher, Martin Heidegger, decided to not condemn his decade of adherence to Nazism he fled from acting responsibly. When he decided to never mention in his writings published after 1945 the devastating horrors of the Nazi Holocaust and the millions of dead lives that resulted from the despicable evils of the Nazi regime, Heidegger was blatantly evading his responsibility for the world. By these pernicious and cowardly decisions, when relating to his own and to his nation's history, he chose a future in which such horrors can continue to be performed. Heidegger was probably wise enough to know that whoever purposely ignores a blatant terrible evil, sanctions it and thus joins the evildoers. Thus, in relation to the Nazi Holocaust, Heidegger joined the many German evildoers by ignoring his own past evil and the evil of his compatriots. (14)</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Because I am responsible for my existence, for the world, and for the future, Sartre's ontology reveals, there is no detached learning or teaching of history. I must take a stance in relation to the dead lives, the events, and the truths that historical research presents. The key word here is truths, and many of them are as simple as the horrors performed by the Nazis. A stance in relation to history, such as that adopted by Martin Heidegger, which deliberately ignores truths about the horrors inflicted upon human beings and upon other nations by my nation is evil and ruinous. Unfortunately, as Noam Chomsky has repeatedly shown, such an evil stance is rather common among many United States and Western historians; it is also the prevailing approach of the mainstream press in the United States -especially the New York Times and the Washington Post—when reporting on most recent historical events. (15)</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For instance, many United States' respected historians, and journalists who write about the past few decades, ignore those policies and acts of their government in the twentieth century which brought about murderous oppression and cruel exploitation of indigenous populations in nations of the Caribbean, Central and South America, and South East Asia. Note that many tens of millions of innocent people suffered death, torture, hunger, and severe economic deprivation as a result of these evil policies that mainstream historians resolutely skip. These historians resemble the populace in Sartre's play, The Flies, who flee from their responsibility for the crimes that they know were committed. They allow the United States policy makers to disown crimes that they performed, or, worse, view them as inevitable accidents that occur in so-called developing countries. These historians are deliberately not heeding the wise words of Ortestes on such mendacity in The Flies: "A crime which its doer disowns becomes ownerless-- no man's crime; that's how you see it, isn't it? More like an accident than a crime?" (16)</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Indeed, never have mainstream United States historians who support the régime suggested that what their political leaders and the armed forces they supported did to peoples of Vietnam, Haiti, El Salvador, Nicaraugua, and other countries in the twentieth century may also be called a "Shoah." The cult of historical irresponsibility and bad faith, which boasts Martin Heidegger as one of its major figures, has many fellow travelers.</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We can now return to Roquentin. His abandoning of historical research includes an apt warning. Your responsibility for dead lives must never lead you to abandon your responsibility for your own existence, for the living people with whom you share the world, and for the history of the world that is occurring here and now, while you exist. Relentlessly devoting your energies to historically resurrecting a dead life, such as Roquentin did with Monsieur de Rollebon, while hardly learning from this process how to exist and act responsibly in the world is ruinous. One day in the library of Bouville Roquentin understood.</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Monsieur de Rollebon was my partner: he needed me in order to be and I needed him in order not to feel my being. I furnished the raw material, that material of which I had far too much, which I didn't know what to do with: existence, my existence. His task was to perform. He stood in front of me and had taken possession of my life in order to perform his life for me. I no longer noticed that I existed... (17)</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Roquentin grasped his grave mistake. His relentless devotion to presenting the details of the dead life of Monsieur de Rollebon brought about his own directionless, and often desensitized, existence. Yet, do not the fifteen years of hard work which resulted in The Family Idiot, the almost three thousand page biography that Sartre published on the life of Gustave Flaubert, reflect an abandoning of the living in favor of one dead life? Not really. Sartre continued to be deeply involved in the political realm while working on this biography, an involvement which included, among many other engagements, his struggles against the unjust murderous war that the United States conducted in Vietnam, and his support for the student rebellion in Europe during the late 1960s. What is more, Sartre's biography of Flaubert goes much beyond presenting the details of the life of the author of Madam Bovary. Utilizing new methods Sartre is attempting to answer a philosophical and historical question. An abbreviated citation from his preface indicates the significance of this question.</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 xml:space="preserve">The Family Idiot is the sequel to Search for a Method. Its subject: what, at this point in time, can we know about a man? It seemed to me that this question could only be answered by studying a specific </w:t>
      </w:r>
      <w:r w:rsidRPr="00B420E7">
        <w:rPr>
          <w:rFonts w:ascii="Arial" w:eastAsia="Times New Roman" w:hAnsi="Arial" w:cs="Arial"/>
          <w:color w:val="000000"/>
          <w:sz w:val="20"/>
          <w:szCs w:val="20"/>
          <w:lang w:eastAsia="tr-TR"/>
        </w:rPr>
        <w:lastRenderedPageBreak/>
        <w:t>case. What do we know, for example about Gustave Flaubert? Such knowledge would amount to summing up all the data on him at our disposal. We have no assurance at the outset that such a summation is possible and that the truth of a person is not multiple... For a man is never an individual; it would be more fitting to call him a universal singular. Summed up and for this reason universalized by his epoch, he in turn resumes it by reproducing himself in it as singularity. Universal by the singular universality of human history, singular by the universalizing singularity of his projects, he requires simultaneous examination from both ends. (18)</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It is beyond the scope of this paper to examine whether Sartre succeeded in answering the question he posed as guiding his research --what, at this point of time, can we know about a man?— although our personal assessment is very positive. We can, however, state categorically that Sartre's historical-philosophical research on Gustave Flaubert is a presentation of a dead life while assuming responsibility for the living because, to borrow a phrase from Heidegger, it opens a clearing in which truth is able to emerge. As we have shown elsewhere, some of the truths disclosed in his study of Flaubert's life have helped us, as readers, learn how to cope with evil that we have encountered, in the Middle East and elsewhere, and decided to challenge. (19) In researching and studying dead lives, it seems that Jean-Paul Sartre never made the mistakes of Antoine Roquentin.</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In summary, teaching history that learns from Sartre is not only an assuming of responsibility for presenting the whole truth about dead lives. It is a showing how the worthy deeds and sayings of persons of the past can guide us to strive to live a fulfilling existence; it will also indicate that the evil deeds, banal mistakes, and bizarre failings of other dead persons, such as Gustave Flaubert, point to pitfalls that we should avoid. Furthermore, the teacher of history should stress that since the dead lives which you may study determine many components of the situation in which you find yourself, ignoring them is well nigh impossible. Or as Sartre put it in a quite similar context: "If the past does not determine our actions, at least it is such that we can not take a new decision except in terms of it." (20)</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Sartre's approach has additional merits. My knowledge of and responsibility for dead lives can often contribute lucidity, a moral outlook, and wisdom to my decisions in the new situation in which I find myself. It will frequently suggest that I assume responsibility for people who are living here and now. Consider briefly those Non Government Organizations, such as Fellowship Of Reconciliation, Maryknoll, or Human Rights Watch, which are situated in the United States and, each in its own way, support the indigenous population in Central America. Their assuming responsibility for the living people in El Salvador, Nicaraugua, and other poverty stricken countries is buttressed by their stated responsibility for the many dead of these countries who were victims of United States policies of cruel murderous oppression and brutal exploitation. Their responsibility for dead lives has led to worthy deeds.</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Finally, we firmly believe that teaching history that learns from Sartre on my responsibility for dead lives can be an exciting, fulfilling, and enlightening challenge. While presenting truths of the past it can illuminate my present situation and indicate a path to pursuing wisdom and a worthy life. In addition, Sartre's approach to history expresses a much needed call to all of us to assume responsibility for the many live persons-- our contemporaries—who are currently being crushed by evil and oppressive forces in the world.</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Default="00B420E7" w:rsidP="00B420E7">
      <w:pPr>
        <w:rPr>
          <w:rFonts w:ascii="Arial" w:hAnsi="Arial" w:cs="Arial"/>
          <w:b/>
          <w:szCs w:val="20"/>
          <w:shd w:val="clear" w:color="auto" w:fill="FFFFFF"/>
        </w:rPr>
      </w:pPr>
      <w:r w:rsidRPr="00B420E7">
        <w:rPr>
          <w:rFonts w:ascii="Arial" w:hAnsi="Arial" w:cs="Arial"/>
          <w:b/>
          <w:szCs w:val="20"/>
          <w:highlight w:val="yellow"/>
          <w:shd w:val="clear" w:color="auto" w:fill="FFFFFF"/>
        </w:rPr>
        <w:t>Is History a Science</w:t>
      </w:r>
      <w:r w:rsidRPr="00B420E7">
        <w:rPr>
          <w:rFonts w:ascii="Arial" w:hAnsi="Arial" w:cs="Arial"/>
          <w:b/>
          <w:szCs w:val="21"/>
          <w:highlight w:val="yellow"/>
        </w:rPr>
        <w:br/>
      </w:r>
    </w:p>
    <w:p w:rsidR="00B420E7" w:rsidRDefault="00B420E7" w:rsidP="00B420E7">
      <w:pPr>
        <w:rPr>
          <w:rFonts w:ascii="Arial" w:hAnsi="Arial" w:cs="Arial"/>
          <w:b/>
          <w:szCs w:val="20"/>
          <w:shd w:val="clear" w:color="auto" w:fill="FFFFFF"/>
        </w:rPr>
      </w:pPr>
    </w:p>
    <w:p w:rsidR="00B420E7" w:rsidRPr="00B420E7" w:rsidRDefault="00B420E7" w:rsidP="00B420E7">
      <w:pPr>
        <w:spacing w:after="0" w:line="240" w:lineRule="auto"/>
        <w:jc w:val="center"/>
        <w:rPr>
          <w:rFonts w:ascii="Times New Roman" w:eastAsia="Times New Roman" w:hAnsi="Times New Roman" w:cs="Times New Roman"/>
          <w:color w:val="000000"/>
          <w:sz w:val="27"/>
          <w:szCs w:val="27"/>
          <w:lang w:eastAsia="tr-TR"/>
        </w:rPr>
      </w:pPr>
      <w:r w:rsidRPr="00B420E7">
        <w:rPr>
          <w:rFonts w:ascii="Arial" w:eastAsia="Times New Roman" w:hAnsi="Arial" w:cs="Arial"/>
          <w:b/>
          <w:bCs/>
          <w:color w:val="000000"/>
          <w:sz w:val="27"/>
          <w:szCs w:val="27"/>
          <w:lang w:eastAsia="tr-TR"/>
        </w:rPr>
        <w:t>Is History a Science?</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 xml:space="preserve">The great value of the ‘Is history a science?’ debate is the manner in which it helps clarify the nature of history and to delimit what history can, and cannot do. To the ordinary common-sense mortal, the most striking difference between history and natural science is the degree to which  proof can be established of the various contentions made by the scientist and  the historian respectively. I say ‘degree’, though the more self-regarding historians would probably join with history’s severest critics in saying there is little or no similarity between the scientist’s methods and the historian’s ‘intuition,’ between the scientist’s empirical expertise and the historian’s creative flights. Yet neither ‘intuition’ nor ‘creation’ need represent a fundamental divide between history and science. The gifted scientist will usually develop a ‘feel’ for his subject which may not be greatly different from the intuition of which some historians boast. The scientist of course will attempt empirically to demonstrate the validity of any hunch he may have; his ‘feel’ will take him in the direction of  trying one kind of experiment rather than another, not towards stating untested assumptions. But again this is not terribly different from the way the professional </w:t>
      </w:r>
      <w:r w:rsidRPr="00B420E7">
        <w:rPr>
          <w:rFonts w:ascii="Arial" w:eastAsia="Times New Roman" w:hAnsi="Arial" w:cs="Arial"/>
          <w:color w:val="000000"/>
          <w:sz w:val="20"/>
          <w:szCs w:val="20"/>
          <w:lang w:eastAsia="tr-TR"/>
        </w:rPr>
        <w:lastRenderedPageBreak/>
        <w:t>historian (as distinct from the inspired charlatan) sets to work; intuition may suggest certain causal connections but the historian will do his best from the material at his disposal to establish at least the probability of such a casual relationship; better still he may be stimulated to seek for entirely new source materials (rather as a scientist might devise an entirely new type of experiment). On the matter of ‘creativity,’ it is surely not to be contested that Einstein’s theory of relatively is one of the great monuments to human creative thinking. Of course most practising scientists are engaged on much more basic tasks; but then a large number of historians are engaged on pretty mundane work as well.</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Rather cunningly, a few sentences ago, I introduced the word ‘probability.’ The historian can only show from his sources that it was likely or at most, probable, that something happened in the way he says it did. But natural science today also deals in probabilities rather than in the certainties of nineteenth century days. Many of those who so vehemently deny that history can have any resemblance to a natural science reveal appalling ignorance of the direction natural sciences are currently taking With the ‘Relatively Revolution,’ the Newtonian absolutes were dethroned. The discovery of ‘quanta’ contradicted the conception of the continuity of the infinitesimal calculus. The theory of mutations pointed to change coming through leaps, not by gradual process. Today, scientists can, from time to time, be heard calling for a revision of scientific laws: in October 1968 Professor Fred Hoyle challenged the Royal Astronomical Society with the need for a radical change of the laws of physics; only thus, he said, would it be possible to account for the ‘funny things which are going on’ in the universe. Let us therefore agree that, save on the most banal level, there are no absolutes in the natural world. So when the historian fails to establish conclusive proofs for his version of past events he may not necessarily be exposing himself as thoroughly unscientific.</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However, there is a difference, and we all know there is a difference. The physical scientist cannot call for a repeat performance of the past. The scientist, it may be argued further, can preserve an objectivity towards the phenomena he is studying, whereas the historian can never be completely objective. On the whole this distinction to must be allowed to stand, though again as one of degree rather than as an absolute. After all, as has often been pointed out, the man who assembles the apparatus for a particular experiment effectively becomes a part of the experiment: even in physical science the human, subjective element can never be entirely excluded.</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The other central problems in the ‘Is history a science?’ debate are these: the ultimate (often remote) objective in scientific exploration is the formulation of a scientific law, but there are no general laws in history (attempts in this direction having commended themselves neither to historians nor to non-historians); scientific knowledge provides the power of prediction; the historian cannot predict. The latter point is in some ways a bit of a red herring: the historian’s concern, by definition, is with the past; he may well, as a result of his expertise, make some intelligent predictions about the present and future, but that is not strictly his business. E.H. Carr has given an example of the kind of prediction the historian might indulge in:</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“People do not expect the historian to predict that revolution will break out in Ruritania next month. The kind of conclusion which they will seek to draw, partly from specific knowledge of Ruritanian affairs and partly from a study of history, is that conditions in Ruritania are such that a revolution is likely to occur in the near future if somebody touches it off, or unless somebody on the government side does something to stop it; and this conclusion might be accompanied by estimates, based partly in the analogy of other revolutions, of the attitude which different sectors of the population may be expect to adopt. The prediction, if such it can be called, can be realised only through the occurrence of unique events, which cannot themselves be predicted; but this does not mean that inferences drawn from history about the future are worthless, or that they do not possess a conditional validity which serves both as a guide to action and a key to our understanding of how things happen.”</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An overwhelming majority of historians in fact will probably have no knowledge whatever of Ruritania and little knowledge of revolutions. Non- historians do have a right to expect intelligent and informed comment on current events from their historical friends; statesmen, civil servants, television commentators may reasonably be presumed to react more intelligently to current crises if they have a historical training. But this is really to move away for the kind of ‘prediction’ continuously practised by the professional historian in the normal line of business, a type of ‘prediction’ which in a small way is analogous to the prediction of the physical scientist. This comes about when the historian, using the evidence he has painfully accumulated, together with the feel for the way things happen in certain circumstances which he has developed over the years, makes an inference about something for which he does not in fact have full and sufficient evidence. He is ‘predicting’ what will be seen to have happened once the full evidence is forthcoming. This, in the end, is certainly not the same as the scientist’s prediction (indeed the special word ‘retrodiction’ has been coined to capture the difference) but again, one might argue that it is a difference of degree rather than of kind.</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lastRenderedPageBreak/>
        <w:br/>
        <w:t>Much time, most fruitfully, has been spent over the issue of general laws. It has now become something of a platitude that ... whenever the historian speaks of a ‘war,’ of a ‘revolution,’ of ‘feudalism,’ of ‘representative government,’ he is using a generalisation. In each of these cases he is suggesting that there are certain general features which characterise a ‘war,’ “feudalism,’ etc. However, the use of such generalisation still leaves us a long way from the formulation of general laws. Given all the qualifications that must now be made about the nature of scientific laws, that they are working hypotheses, expressions of tendencies and probabilities, not iron-hard certainties, it still does seem that in the physical sciences there are laws which differ in scale from any generalisation which the historian might feel competent to make. Again the distinction is not an absolute one; after all, the formulation of scientific laws only exercises the physical scientist operating at the highest level: most scientists are just as immersed in detail as are most historians.</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There is one further point which is sometimes thrown into the argument, notably by Trevelyan. This is the one about science having use, while history, of course, is ‘useless.’ ‘What is meant, of course is immediate tangible use: television sets, pasteurised beer, nuclear bombs. The natural scientist working as a scientist (and not as an industrial chemist or scientific adviser to some government or corporation) would however deny that his researches are directed towards such utilitarian products. The scientist seeks knowledge of the phenomena of the physical universe as the historian seeks knowledge of the human past. If the scientist is anything more than crusty misanthropist he will believe that somewhere sometime his discoveries in ‘pure’ science will have practical application; that belief is not fundamentally different from that of historians.</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All this would suggest that while there is no fundamental distinction between the main aims and methods of the historian and of the physical scientist, nonetheless there are good reasons for the common-sense assumption the differences do exist. The final point which highlights this sense of difference springs from the manner in which, in one form or another, history becomes implicated in the making of value judgments. Most historians would accept Professor Knowlses’s neat statement: ‘The historian is not judge, still less a hanging judge.’ But they also rejoice at the delicate comeuppance which the late Professor Alfred Cobban administered to Professor Michael Oakeshott’s pleas for complete moral neutrality (in paper read to the second and fourth Irish Conferences of Historians):</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“It is admittedly difficult,” says Professor Oakeshott, “to avoid ‘the description of conduct in, generally speaking, moral terms.’ This I take to mean that, for example, we cannot help describing the September massacres as massacres. The important thing is to avoid any suggestion that massacres are a bad thing, because this would be a moral judgment and therefore non-historical.”</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The historian cannot help but moral judgments, if only by implication or by virtue of his selection of the facts: these judgments are of a type not encountered in the natural sciences.</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Finally, to recall a point already made if the historian’s activities truly are necessary to society, he must communicate the fruits of his labours to that society. There falls upon the historian a duty to write serviceable prose which does not fall on the scientist, whose labours may best be summed up in a few pages of equations.</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color w:val="000000"/>
          <w:sz w:val="20"/>
          <w:szCs w:val="20"/>
          <w:lang w:eastAsia="tr-TR"/>
        </w:rPr>
        <w:t>The most apposite words of all are those of Professor E.E. Evans-Pritchard, the anthropologist: ‘When will people get it into their heads that the conscientious historian is no less systematic, exacting and critical in his research thana chemist or biologist, that it is not in method that social science differs from physical science but in the nature of the phenomena they study.’ Here surely is the crucial point: the historian is concerned with a different kind of material, human experience in the past, from that with which the natural scientist is concerned.</w:t>
      </w:r>
    </w:p>
    <w:p w:rsidR="00B420E7" w:rsidRPr="00B420E7" w:rsidRDefault="00B420E7" w:rsidP="00B420E7">
      <w:pPr>
        <w:spacing w:after="0" w:line="240" w:lineRule="auto"/>
        <w:jc w:val="both"/>
        <w:rPr>
          <w:rFonts w:ascii="Times New Roman" w:eastAsia="Times New Roman" w:hAnsi="Times New Roman" w:cs="Times New Roman"/>
          <w:color w:val="000000"/>
          <w:sz w:val="27"/>
          <w:szCs w:val="27"/>
          <w:lang w:eastAsia="tr-TR"/>
        </w:rPr>
      </w:pPr>
      <w:r w:rsidRPr="00B420E7">
        <w:rPr>
          <w:rFonts w:ascii="Arial" w:eastAsia="Times New Roman" w:hAnsi="Arial" w:cs="Arial"/>
          <w:i/>
          <w:iCs/>
          <w:color w:val="000000"/>
          <w:sz w:val="20"/>
          <w:szCs w:val="20"/>
          <w:lang w:eastAsia="tr-TR"/>
        </w:rPr>
        <w:br/>
        <w:t>by Arthur Marwick ‘The Nature of History’ Macmillan Press, 1970.</w:t>
      </w:r>
    </w:p>
    <w:p w:rsidR="00B420E7" w:rsidRDefault="00B420E7" w:rsidP="00B420E7">
      <w:pPr>
        <w:rPr>
          <w:rFonts w:ascii="Arial" w:hAnsi="Arial" w:cs="Arial"/>
          <w:b/>
          <w:szCs w:val="20"/>
          <w:shd w:val="clear" w:color="auto" w:fill="FFFFFF"/>
        </w:rPr>
      </w:pPr>
    </w:p>
    <w:p w:rsidR="00B420E7" w:rsidRDefault="00B420E7">
      <w:pPr>
        <w:rPr>
          <w:rFonts w:ascii="Arial" w:hAnsi="Arial" w:cs="Arial"/>
          <w:b/>
          <w:szCs w:val="20"/>
          <w:shd w:val="clear" w:color="auto" w:fill="FFFFFF"/>
        </w:rPr>
      </w:pPr>
      <w:r w:rsidRPr="00B420E7">
        <w:rPr>
          <w:rFonts w:ascii="Arial" w:hAnsi="Arial" w:cs="Arial"/>
          <w:b/>
          <w:szCs w:val="20"/>
          <w:highlight w:val="yellow"/>
          <w:shd w:val="clear" w:color="auto" w:fill="FFFFFF"/>
        </w:rPr>
        <w:t>Is this History?</w:t>
      </w:r>
    </w:p>
    <w:p w:rsidR="00B420E7" w:rsidRDefault="00B420E7">
      <w:pPr>
        <w:rPr>
          <w:rFonts w:ascii="Arial" w:hAnsi="Arial" w:cs="Arial"/>
          <w:b/>
          <w:szCs w:val="20"/>
          <w:shd w:val="clear" w:color="auto" w:fill="FFFFFF"/>
        </w:rPr>
      </w:pPr>
    </w:p>
    <w:p w:rsidR="00B420E7" w:rsidRDefault="00B420E7">
      <w:pPr>
        <w:rPr>
          <w:b/>
          <w:sz w:val="28"/>
        </w:rPr>
      </w:pPr>
      <w:hyperlink r:id="rId6" w:history="1">
        <w:r w:rsidRPr="00326237">
          <w:rPr>
            <w:rStyle w:val="Kpr"/>
            <w:b/>
            <w:sz w:val="28"/>
          </w:rPr>
          <w:t>http://mrhoyestokwebsite.com/AOKs/History/Related%20Articles/Is%20This%20History.pdf</w:t>
        </w:r>
      </w:hyperlink>
    </w:p>
    <w:p w:rsidR="00B420E7" w:rsidRDefault="00B420E7">
      <w:pPr>
        <w:rPr>
          <w:b/>
          <w:sz w:val="28"/>
        </w:rPr>
      </w:pPr>
    </w:p>
    <w:p w:rsidR="00B420E7" w:rsidRDefault="00B420E7">
      <w:pPr>
        <w:rPr>
          <w:b/>
          <w:sz w:val="28"/>
        </w:rPr>
      </w:pPr>
    </w:p>
    <w:p w:rsidR="00B420E7" w:rsidRDefault="00B420E7" w:rsidP="00B420E7">
      <w:pPr>
        <w:spacing w:after="0" w:line="240" w:lineRule="auto"/>
        <w:rPr>
          <w:rFonts w:ascii="Arial" w:eastAsia="Times New Roman" w:hAnsi="Arial" w:cs="Arial"/>
          <w:b/>
          <w:bCs/>
          <w:color w:val="000000"/>
          <w:sz w:val="24"/>
          <w:szCs w:val="24"/>
          <w:lang w:eastAsia="tr-TR"/>
        </w:rPr>
      </w:pPr>
      <w:r w:rsidRPr="00B420E7">
        <w:rPr>
          <w:rFonts w:ascii="Arial" w:eastAsia="Times New Roman" w:hAnsi="Arial" w:cs="Arial"/>
          <w:b/>
          <w:bCs/>
          <w:color w:val="000000"/>
          <w:sz w:val="24"/>
          <w:szCs w:val="24"/>
          <w:highlight w:val="yellow"/>
          <w:lang w:eastAsia="tr-TR"/>
        </w:rPr>
        <w:t>The Net isn't as Important as we Think</w:t>
      </w:r>
    </w:p>
    <w:p w:rsidR="00B420E7" w:rsidRDefault="00B420E7" w:rsidP="00B420E7">
      <w:pPr>
        <w:spacing w:after="0" w:line="240" w:lineRule="auto"/>
        <w:rPr>
          <w:rFonts w:ascii="Arial" w:eastAsia="Times New Roman" w:hAnsi="Arial" w:cs="Arial"/>
          <w:b/>
          <w:bCs/>
          <w:color w:val="000000"/>
          <w:sz w:val="24"/>
          <w:szCs w:val="24"/>
          <w:lang w:eastAsia="tr-TR"/>
        </w:rPr>
      </w:pPr>
    </w:p>
    <w:p w:rsidR="00B420E7" w:rsidRDefault="00B420E7" w:rsidP="00B420E7">
      <w:pPr>
        <w:spacing w:after="0" w:line="240" w:lineRule="auto"/>
        <w:jc w:val="both"/>
        <w:rPr>
          <w:rFonts w:ascii="Arial" w:eastAsia="Times New Roman" w:hAnsi="Arial" w:cs="Arial"/>
          <w:color w:val="000000"/>
          <w:sz w:val="20"/>
          <w:szCs w:val="20"/>
          <w:lang w:eastAsia="tr-TR"/>
        </w:rPr>
      </w:pP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Born in South Korea in 1963, Ha-Joon Chang is an economist based at Cambridge University specialising in development. Known for his heterodox views, he is the author of several books, including Kicking Away the Ladder (2002) and Bad Samaritans: The Myth of Free Trade and the Secret History of Capitalism (2008). In his new book, 23 Things They Don't Tell You About Capitalism (Allen Lane, Chang debunks many cherished myths about the free market. In one chapter, he says: "The washing machine changed the world more than the internet."</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b/>
          <w:bCs/>
          <w:i/>
          <w:iCs/>
          <w:color w:val="000000"/>
          <w:sz w:val="20"/>
          <w:szCs w:val="20"/>
          <w:lang w:eastAsia="tr-TR"/>
        </w:rPr>
        <w:t>Is it really true that the washing machine has changed the world more than the internet?</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When we assess the impact of technological changes, we tend to downplay things that happened a while ago. Of course, the internet is great – I can now Google and find the exact location of this restaurant on the edge of Liverpool or whatever. But when you look at the impact of this on the economy, it's mainly in the area of leisure.</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The internet may have significantly changed the working patterns of people like you and me, but we are in a tiny minority. For most people, its effect is more about keeping in touch with friends and looking up things here and there. Economists have found very little evidence that since the internet revolution productivity has grown.</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b/>
          <w:bCs/>
          <w:i/>
          <w:iCs/>
          <w:color w:val="000000"/>
          <w:sz w:val="20"/>
          <w:szCs w:val="20"/>
          <w:lang w:eastAsia="tr-TR"/>
        </w:rPr>
        <w:t>And the washing machine was more transformative?</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By liberating women from household work and helping to abolish professions such as domestic service, the washing machine and other household goods completely revolutionised the structure of society. As women have become active in the labour market they have acquired a different status at home – they can credibly threaten their partners that if they don't treat them well they will leave them and make an independent living. And this had huge economic consequences. Rather than spend their time washing clothes, women could go out and do more productive things. Basically, it has doubled the workforce.</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b/>
          <w:bCs/>
          <w:i/>
          <w:iCs/>
          <w:color w:val="000000"/>
          <w:sz w:val="20"/>
          <w:szCs w:val="20"/>
          <w:lang w:eastAsia="tr-TR"/>
        </w:rPr>
        <w:t>The washing machine is just one element here. Other factors have contributed to the liberation of women – feminism, the pill and so on.</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Yes, but feminism couldn't have been implemented unless there was this technological basis for a society where women went out and worked. Of course it's not just the washing machine, it's piped water, electricity, irons and so on.</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b/>
          <w:bCs/>
          <w:i/>
          <w:iCs/>
          <w:color w:val="000000"/>
          <w:sz w:val="20"/>
          <w:szCs w:val="20"/>
          <w:lang w:eastAsia="tr-TR"/>
        </w:rPr>
        <w:t>Do we tend to overestimate the importance of communications revolutions?</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Not always. The invention of the printing press was one of the most important events in human history. But we overestimate the internet and ignore its downsides. There's now so much information out there that you don't actually have time to digest it.</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In another chapter of the book, I talk about the American economist Herbert Simon, who argued that our problem now is that we have limited decision-making capability rather than too little information. If you try to find something on the internet, it's a deluge. And in terms of productivity, the internet has its drawbacks – for example, it makes it a lot easier to bunk off work.</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b/>
          <w:bCs/>
          <w:i/>
          <w:iCs/>
          <w:color w:val="000000"/>
          <w:sz w:val="20"/>
          <w:szCs w:val="20"/>
          <w:lang w:eastAsia="tr-TR"/>
        </w:rPr>
        <w:t>But what about the sheer speed at which it allows us to do things?</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That is exaggerated too. Before the invention of the telegraph in the late 19th century, it took two to three weeks to carry a message across the Atlantic. The telegraph reduced it to 20 or 30 minutes – an increase of 2,000-3,000 times. The internet has reduced the time of sending, say, three or four pages of text from the 30 seconds you needed with a fax machine down to maybe two seconds – a reduction by a factor of 15. Unless I'm trading commodity futures, I can't think of anything where it's really so important that we send it in two seconds rather than a few minutes.</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b/>
          <w:bCs/>
          <w:i/>
          <w:iCs/>
          <w:color w:val="000000"/>
          <w:sz w:val="20"/>
          <w:szCs w:val="20"/>
          <w:lang w:eastAsia="tr-TR"/>
        </w:rPr>
        <w:t>Does it matter that we overestimate the internet's importance?</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On one level, no. If I think the Sun goes round the Earth, it's not going to affect how I do my grocery shopping or teach economics. But where it does matter is that a lot of people have come to accept a policy action or business decision on the grounds that this is something driven by technological changes rather than by active human decisions. So anyone who is against total globalisation is a modern luddite.</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lastRenderedPageBreak/>
        <w:t>This idea that the internet is driving globalisation has enabled business leaders and politicians to get away with decisions made for their own self-interest, because people have been too ready to accept that things have to be like this.</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b/>
          <w:bCs/>
          <w:i/>
          <w:iCs/>
          <w:color w:val="000000"/>
          <w:sz w:val="20"/>
          <w:szCs w:val="20"/>
          <w:lang w:eastAsia="tr-TR"/>
        </w:rPr>
        <w:t>Do we fundamentally misunderstand the nature of capitalism, as the title of your book implies?</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Let me start by saying that I am an advocate of capitalism. To paraphrase Winston Churchill, I think it's the worst economic system except for all the others. So I'm not an anti-captialist, or anarchist. I want capitalism to work. But the version of capitalism that we have practised in the past two or three decades is a very extreme free-market version which, contrary to the claims of many economists, is not the only or best way to run things. There are many different ways and in the book I show that countries that have run capitalism differently, even if they practise free-market capitalism today, have done much better.</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William Skidelsky, The Observer, Sunday 29 August 2010</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http://www.guardian.co.uk/technology/2010/aug/29/my-bright-idea-ha-joon-chang</w:t>
      </w:r>
    </w:p>
    <w:p w:rsidR="00B420E7" w:rsidRDefault="00B420E7">
      <w:pPr>
        <w:rPr>
          <w:b/>
          <w:sz w:val="28"/>
        </w:rPr>
      </w:pPr>
    </w:p>
    <w:p w:rsidR="00B420E7" w:rsidRDefault="00B420E7">
      <w:pPr>
        <w:rPr>
          <w:b/>
          <w:sz w:val="28"/>
        </w:rPr>
      </w:pPr>
    </w:p>
    <w:p w:rsidR="00B420E7" w:rsidRPr="00B420E7" w:rsidRDefault="00B420E7" w:rsidP="00B420E7">
      <w:pPr>
        <w:spacing w:after="0" w:line="240" w:lineRule="auto"/>
        <w:jc w:val="center"/>
        <w:rPr>
          <w:rFonts w:ascii="Arial" w:eastAsia="Times New Roman" w:hAnsi="Arial" w:cs="Arial"/>
          <w:color w:val="000000"/>
          <w:sz w:val="16"/>
          <w:szCs w:val="16"/>
          <w:lang w:eastAsia="tr-TR"/>
        </w:rPr>
      </w:pPr>
      <w:r w:rsidRPr="00B420E7">
        <w:rPr>
          <w:rFonts w:ascii="Arial" w:eastAsia="Times New Roman" w:hAnsi="Arial" w:cs="Arial"/>
          <w:b/>
          <w:bCs/>
          <w:color w:val="000000"/>
          <w:sz w:val="24"/>
          <w:szCs w:val="24"/>
          <w:highlight w:val="yellow"/>
          <w:lang w:eastAsia="tr-TR"/>
        </w:rPr>
        <w:t>Captain Scott: a second-rate hero?</w:t>
      </w:r>
    </w:p>
    <w:p w:rsidR="00B420E7" w:rsidRPr="00B420E7" w:rsidRDefault="00B420E7" w:rsidP="00B420E7">
      <w:pPr>
        <w:spacing w:after="0" w:line="240" w:lineRule="auto"/>
        <w:jc w:val="center"/>
        <w:rPr>
          <w:rFonts w:ascii="Arial" w:eastAsia="Times New Roman" w:hAnsi="Arial" w:cs="Arial"/>
          <w:color w:val="000000"/>
          <w:sz w:val="16"/>
          <w:szCs w:val="16"/>
          <w:lang w:eastAsia="tr-TR"/>
        </w:rPr>
      </w:pPr>
      <w:r w:rsidRPr="00B420E7">
        <w:rPr>
          <w:rFonts w:ascii="Arial" w:eastAsia="Times New Roman" w:hAnsi="Arial" w:cs="Arial"/>
          <w:b/>
          <w:bCs/>
          <w:color w:val="000000"/>
          <w:sz w:val="24"/>
          <w:szCs w:val="24"/>
          <w:lang w:eastAsia="tr-TR"/>
        </w:rPr>
        <w:t> </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After a lifetime's research, Roland Huntford thinks he has finally nailed the myth of Scott of the Antarctic: far from being a national hero, the explorer was an amateur whose incompetence condemned his men to death</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It was hard to escape Captain Scott if you were a child growing up in Britain any time between the 1920s and the 1970s. He was the man who made the ultimate sacrifice on his return from the south pole; the man who achieved a greater nobility in coming second than his rival did in coming first; the man who embodied the noblest qualities of stoicism and suffering. In short, he was the quintessential British hero, the venerated subject of school assemblies everywhere.</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And then, almost overnight, the Scott myth ended in 1979 with the publication of Roland Huntford's book, ‘Scott and Amundsen’. For the first time, the British and Norwegian expeditions to the south pole were forensically examined side by side and Scott was found seriously wanting.</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The undisputed facts remained the same, that Amundsen and his team reached the south pole on 15 December 1911 using skis, dogs and sledges, before returning safely to their base camp just over a month later. And that, after Scott's polar party reached the south pole on 17 January 1912 using skis, dogs, sledges and man-hauling, the team died one by one: Edgar Evans died of exhaustion, frostbite and starvation on or around 16 February; Captain Oates, his leg frost-bitten and gangrenous, walked to his death on or around 17 March; and Scott, Wilson and Bowers, too tired to go on, died in their tent out on the Ross Ice Shelf on or around 21 March.</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Everything else in the story, however, was up for grabs. Where Amundsen's attention to detail made his expedition seem no more demanding than a skiing trip in the Norwegian outdoors, Scott's appeared a disaster almost from the off. According to Huntford's account, he ignored the basic lessons of previous polar expeditions by failing to either take enough dogs or learn how to drive them properly; he took men who barely knew how to ski; he came unprepared for extreme temperatures; he was indecisive, taking an extra person with him to the pole when his supplies had been based on a team of four. Worst was the veiled accusation that because of all this Scott had effectively condemned his team to death.</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It was a damning indictment: one from which rehabilitation seemed impossible. And yet, within 25 years or so, serious writers and academics began to rewrite history in Scott's favour again. First came Ranulph Fiennes in 2003, dismissing Huntford for not being an explorer himself; in the same year, Susan Solomon suggested Scott had just been unusually unlucky with the weather.</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Huntford, though, has never been one to duck a fight. He has devoted the last 35 years of his academic career to the study of polar exploration, and in particular to the Scott and Amundsen story. Indeed, his own reputation is now inextricably linked to both men. Two years ago he wrote ‘Two Planks and a Passion’ and this week he publishes ‘Race for the South Pole: The Expedition Diaries of Scott and Amundsen’. The first of these was a history of skiing, the second the unedited diaries, but the subtext of both was the same: to nail the Scott myth once and for all.</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lastRenderedPageBreak/>
        <w:t>The Expedition Diaries breaks new ground by letting both men live and die side by side in their own words. And so, on the very day Scott is complaining about unexpectedly cold conditions, Amundsen writes that the temperatures are about what he expected and he is making good progress. And on days when Scott is tent-bound in a blizzard, Amundsen is again achieving his expected daily distance, because he has brought proper sledge compasses. This is a story of amateurs and professionals, heightened by entries from the diaries of Olav Bjaaland, Amundsen's lead skier, who makes the whole thing sound like a day in the Norwegian mountains.</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Even more damning for Scott's reputation, Huntford has restored all the cuts that Scott's family and literary executors had made to his published diaries. Here we find a man given to blaming his colleagues for his own failings; a man with a strong sense, quite early in the expedition, that his preparations have been inadequate; a man who describes one of his dying colleagues as stupid; a man who, on realising he has missed out on being the first to the pole, writes that he can still salvage his reputation if he can get the news to the outside world before Amundsen. A man eager to mask his failure by playing up his mission's scientific endeavour. A man who at one point writes his expedition is a shambles.</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"Before Scott left for the Antarctic, the British public had little interest in him," says Huntford. "He was considered an inferior version of Shackleton [who then held the record for the going the furthest south] and polar exploration wasn't big in the public imagination, being considered the preserve of the Royal Geographical Society and the navy and therefore a hive of mediocrity. Those with the real ability in extreme conditions went into mountaineering; the unwritten story of British polar exploration is the men who didn't go."</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Amundsen's success in reaching the south pole was broadcast almost a year before news of Scott's fate reached the outside world. In that time, while some of the British newspapers were a little huffy about Amundsen having concealed from Scott his intention of heading south, the British public were fairly sanguine. Amundsen's UK lecture tour in the autumn of 1912 was a success and there was feeling that the best man had won.</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All that changed in 1913 when news came through that Scott and his men had died. "There was a public outpouring of grief almost on a par with what we later saw with the death of Princess Diana," says Huntford. "The British have frequently made a virtue of disaster, and have a perverse attraction to romantic heroes who fail rather than to Homeric ones who succeed. Most important of all was that Scott was dead; had he come home alive, he would have been soon forgotten."</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Yet even this Diana moment was comparatively short-lived. When Scott's expedition diaries came out towards the end of 1913, the reviews were mixed at best, as if the critics suspected the edited diaries were covering up a truth altogether more uncomfortably prosaic than the legend they had been sold. By the time the first world war started, Scott's memory had been half eclipsed; by the end it had been almost totally so.</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It was the aftermath of the first world war that was largely responsible for Scott's revival. "The war was the first fought on an epic scale and it left the country with a vacuum of heroes," says Huntford. "There were no Wellingtons or Nelsons for the country to unite around. The generals were discredited and the foot soldiers largely anonymous and forgotten. So there was a real national desire for a modern hero."</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The publication in 1922 of ‘The Worst Journey in the World’ by Apsley Cherry-Garrard, the expedition member who had discovered the bodies of Scott, Wilson and Bowers, put Scott back on a national pedestal, and with the release of the 1947 film Scott of the Antarctic, with its Vaughan Williams soundtrack , his heroic status remained almost untouched for more than 50 years.</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By the time Huntford began his research in the mid-70s, the Scott family and the Scott Polar Research Institute (SPRI) in Cambridge happily opened up their archives to him, confident that nothing critical would ever be written. Huntford got an early indication of what was in store, however, after a run-in with a senior academic at the SPRI, who warned him of the dangers of damaging Scott's reputation. When his original book was published in 1979, he had to fight off an injunction taken out by Peter Carter-Ruck on behalf of the Scott family for libel by implication.</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The Scott family were right to be concerned. Huntford had been ruthless in his research, and though Scott did not go undefended, Huntford's version rapidly became widely accepted. And yet the Scott legend refuses to die to this day.</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 xml:space="preserve">"It's strange," says Huntford. "Shackleton, who didn't lose a man when the Endurance was crushed in the Antarctic ice, remains a footnote in the national psyche, while Scott still has an iconic status. Only </w:t>
      </w:r>
      <w:r w:rsidRPr="00B420E7">
        <w:rPr>
          <w:rFonts w:ascii="Arial" w:eastAsia="Times New Roman" w:hAnsi="Arial" w:cs="Arial"/>
          <w:color w:val="000000"/>
          <w:sz w:val="20"/>
          <w:szCs w:val="20"/>
          <w:lang w:eastAsia="tr-TR"/>
        </w:rPr>
        <w:lastRenderedPageBreak/>
        <w:t>in Britain do we revere the man who died in failure above the survivor. Elsewhere in the world, Scott is seen as rather second-rate, an incompetent loser who battled nature rather than tried to understand it."</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‘The Race for the South Pole’ represents Huntford's final attempt to get Scott and Amundsen's legacies restored to what he believes should be their proper balance. There is simply no more evidence left to find. Will it be enough? Possibly not.</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Scott will always have his supporters – and maybe that is as it should be. After all, decline and fall is a paradigm of British life over much of the last hundred years. Perhaps we get the national heroes we deserve.</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John Crace, The Guardian, Monday 27 September</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http://www.guardian.co.uk/world/2010/sep/27/captain-scott-antarctic-amundsen-south-pole</w:t>
      </w:r>
    </w:p>
    <w:p w:rsidR="00B420E7" w:rsidRDefault="00B420E7">
      <w:pPr>
        <w:rPr>
          <w:b/>
          <w:sz w:val="28"/>
        </w:rPr>
      </w:pPr>
    </w:p>
    <w:p w:rsidR="00B420E7" w:rsidRDefault="00B420E7">
      <w:pPr>
        <w:rPr>
          <w:b/>
          <w:sz w:val="28"/>
        </w:rPr>
      </w:pPr>
      <w:bookmarkStart w:id="0" w:name="_GoBack"/>
      <w:bookmarkEnd w:id="0"/>
    </w:p>
    <w:p w:rsidR="00B420E7" w:rsidRPr="00B420E7" w:rsidRDefault="00B420E7" w:rsidP="00B420E7">
      <w:pPr>
        <w:spacing w:after="0" w:line="240" w:lineRule="auto"/>
        <w:jc w:val="center"/>
        <w:rPr>
          <w:rFonts w:ascii="Arial" w:eastAsia="Times New Roman" w:hAnsi="Arial" w:cs="Arial"/>
          <w:color w:val="000000"/>
          <w:sz w:val="16"/>
          <w:szCs w:val="16"/>
          <w:lang w:eastAsia="tr-TR"/>
        </w:rPr>
      </w:pPr>
      <w:r w:rsidRPr="00B420E7">
        <w:rPr>
          <w:rFonts w:ascii="Arial" w:eastAsia="Times New Roman" w:hAnsi="Arial" w:cs="Arial"/>
          <w:b/>
          <w:bCs/>
          <w:color w:val="000000"/>
          <w:sz w:val="24"/>
          <w:szCs w:val="24"/>
          <w:highlight w:val="yellow"/>
          <w:lang w:eastAsia="tr-TR"/>
        </w:rPr>
        <w:t>My Vision for History in Schools</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In these economically and politically tricky times we need history's long look more than ever, says historian and government adviser Simon Schama, as he sets out six of the key events no child should miss out on</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Whatever else gets cut in this time of nicks and scrapes, incisions and mutilations, the cord of our national memory had better not be among the casualties. For even during the toughest trials it's our history that binds us together as a distinctive community in an otherwise generically globalised culture. Mother Teresa and Lady Gaga are multinationals; Oliver Cromwell and Margaret Thatcher are peculiarly ours. In a headphone world where we get to privatise our brains, it's history that logs us on to Our Space.</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This is not to say history is a placebo for our many arguments and ills; a stroll down memory lane to escape the headaches of the present. It's exactly because history is, by definition, a bone of contention (the Greek word historia meant, and was used from the very beginning by Herodotus as, "inquiry") that the arguments it generates resist national self-congratulation. So that inquiry is not the uncritical genealogy of the Wonderfulness of Us, but it is, indispensably, an understanding of the identity of us. The endurance of British history's rich and rowdy discord is, in fact, the antidote to civic complacency, the condition of the irreverent freedom that's our special boast. (Try the American version and you will know what I mean about our brand of salutary disrespect.) The founding masterpiece of European history, Thucydides's Peloponnesian Wars, was written by a veteran for whom the discipline was sceptical or not worth the writing: an attack on Athenian hubris precisely to demonstrate what was, and what was not, worth fighting for in defence of the democratic polis.</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So it is exactly at a time when we are being asked to make painful, even invidious, distinctions between the inessential and the indispensable in our public institutions: that we need history's long look at our national makeup. This is not an insular proposal. The way Britain has conducted itself in the world beyond the shores of Albion, for good as well as ill, is integral to the self-examining story. How European are we; how Americanised in our habits and strategies? Why does Hong Kong pretty much run the world? There is no hope of answers to those kinds of questions without history's help.</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Who is it that needs history the most? Our children, of course: the generations who will either pass on the memory of our disputatious liberty or be not much bovvered about the doings of obscure ancestors, and go back to Facebook for an hour or four. Unless they can be won to history, their imagination will be held hostage in the cage of eternal Now: the flickering instant that's gone as soon as it has arrived. They will thus remain, as Cicero warned, permanent children, for ever innocent of whence they have come and correspondingly unconcerned or, worse, fatalistic about where they might end up.</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 xml:space="preserve">The seeding of amnesia is the undoing of citizenship. To the vulgar utilitarian demand, "Yes, all very nice, I'm sure, but what use is it?", this much (and more) can be said: inter alia, the scrutiny of evidence and the capacity to decide which version of an event seems most credible; analytical knowledge of the nature of power; an understanding of the way in which some societies acquire wealth while others lose it and others again never attain it; a familiarity with the follies and pity of war; the distinctions between just and unjust conflicts; a clear-eyed vision of the trappings and the aura of charisma, the weird magic that turns sovereignty into majesty; the still more peculiar surrender to authority grounded in revelation, </w:t>
      </w:r>
      <w:r w:rsidRPr="00B420E7">
        <w:rPr>
          <w:rFonts w:ascii="Arial" w:eastAsia="Times New Roman" w:hAnsi="Arial" w:cs="Arial"/>
          <w:color w:val="000000"/>
          <w:sz w:val="20"/>
          <w:szCs w:val="20"/>
          <w:lang w:eastAsia="tr-TR"/>
        </w:rPr>
        <w:lastRenderedPageBreak/>
        <w:t>be that a sacred book or a constitution invoked as if it too were supernaturally ordained and hence unavailable to contested interpretation.</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Tell a classroom of 12-year-olds the story of the British (for they took place across our nations) civil wars of the 17th century and all those matters will catch fire in their minds. Explain how it came to be that in the 18th century Britain, a newly but bloodily united kingdom, came somehow to lose most of America but acquire an Indian empire, to engross a fortune on the backs of slaves but then lead the world in the abolition of the trade in humans; explain all that, and a classroom of pupils whose grandparents may have been born in Mumbai or Kingston will grasp what it means to be British today, just as easily as a girl whose grandparents hail from Exeter or Aberdeen.</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But the history of how we came to execute our king, or dominate south Asia, is exactly the history that, in practice, gets short shrift from the present national curriculum. The same is true of vast tracts of British history – most of the medieval centuries, in which the relationship between church and state, a topic of compelling contemporary significance – seldom get class time. A comprehensive school teacher I talked to at one of the Prince of Wales's Summer Institutes told me that he was eager to teach his pupils medieval history and the curriculum offered him space to do just that. He made plans to have his class look at pipe rolls in the county archive with their laconically eloquent accountings of villages decimated by the black death; visit churches and cathedrals to understand what a truly Christian England felt like and take all those experiences back into the classroom. But once he realised – or was made to realise – how much more work it would take both for his pupils and himself to satisfy the time-lords of assessment, "I collapsed back on Hitler and the Henries."</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My own anecdotal evidence suggests that right across the secondary school system our children are being short-changed of the patrimony of their story, which is to say the lineaments of the whole story, for there can be no true history that refuses to span the arc, no coherence without chronology. A pedagogy that denies that completeness to children fatally misunderstands the psychology of their receptiveness, patronises their capacity for wanting the epic of long time; the hunger for plenitude. Everything we know about their reading habits – from Harry Potter to The Amber Spyglass and Lord of the Rings suggests exactly the opposite. But they are fiction, you howl? Well, make history – so often more astounding than fiction – just as gripping; reinvent the art and science of storytelling in the classroom and you will hook your students just as tightly. It is, after all, the glory of our historical tradition – again, a legacy from antiquity – that storytelling is not the alternative to debate but its necessary condition.</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I don't underestimate the difficulty, especially with a looming rise in classroom numbers as the mini baby-boom of the 2000s comes to school, of reinstating a more complete history; especially one that will not neglect Europe and the non-western world. And it can't be a good idea to treat school age as if it ran on parallel tracks to chronology, so that the eight-year-olds automatically get Boudicca. Better, perhaps, to start the reconnections between then and now in primary school with the history closest to the children: families, the local town and country, while not stinting their natural fascination with those who live their lives on the world stage. All of which makes added time for history in the curriculum the precondition of its rescue from disconnection.</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Academies – where history is discouraged, or even ruled out, in favour of more exam-friendly utilitarian options – must be persuaded to teach it, and for more than a trivial hour a week. Drive-by history is no history at all. Ideally, no pupils should be able to abandon the subject at 14.</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To the retort that teachers have enough on their hands in the state system getting their students to be literate and numerate, I would respond that in a pluralist Britain of many cultures, vocational skills are the necessary but insufficient conditions of modern civility. Kids need to know they belong to a history that's bigger, broader, more inclusive than the subject they imagine to be the saga of remote grandees alien to their traditions and irrelevant to their present. A truly capacious British history will not be the feeder of identity politics but its dissolvent. In the last resort, all serious history is about entering the lives of others, separated by place and time. It is the greatest, least sentimental, least politically correct tutor of tolerance.</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 xml:space="preserve">None of this is to underestimate the heroic job being done by history teachers in primary and secondary schools throughout the country, with brutally constrained resources of time and materials. Nor is it to turn a deaf ear to their own concerns. As two successive Historical Association surveys in 2009 and this year make dramatically clear (they are available online at history.org.uk along with an excellent podcast debate about history in schools chaired by Sir David Cannadine), my concerns are but an echo of theirs. "My subject is disappearing," writes one anguished teacher in the 2009 report, in a spirit of lament rather than recrimination. What emerges most startlingly from testimonies of hundreds of teachers is that at a </w:t>
      </w:r>
      <w:r w:rsidRPr="00B420E7">
        <w:rPr>
          <w:rFonts w:ascii="Arial" w:eastAsia="Times New Roman" w:hAnsi="Arial" w:cs="Arial"/>
          <w:color w:val="000000"/>
          <w:sz w:val="20"/>
          <w:szCs w:val="20"/>
          <w:lang w:eastAsia="tr-TR"/>
        </w:rPr>
        <w:lastRenderedPageBreak/>
        <w:t>moment fraught with the possibility of social and cultural division, we are, in effect, creating two nations of young Britons: those, on the one hand, who grow up with a sense of our shared memory as a living, urgently present body of knowledge, something that informs their own lives and shapes their sense of community; and those on the other hand who have been encouraged to treat it as little more than ornamental polishing for the elite.</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Independent and grammar schools by and large teach the subject for 90 minutes or more a week (albeit often in those chopped-up modules); and their teachers have usually had specialist historical training. But one in three comprehensives and academies teach the subject, if at all, with teachers who have no history themselves beyond GCSE; and with harshly truncated hours. There is absolutely no more guaranteed recipe for boredom than discontinuous subject matter taught as an exercise in "learning" by someone who is passionless about the past. How would you rather spend an hour: "learning about learning", trapped in some sort of indeterminate swamp of histo-geographic-social studies, or listening to and talking about, the murder of Thomas Becket?</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If we care about this as a country; if we believe, as I do, that one of its cultural glories is that our future absorbs our past not as dead weight but inspiration, then there is much to consider, debate and do. And nothing worthwhile can be done without listening to and learning from those charged with the mission, working on its frontlines up and down the country in all kinds of schools. But in the end, the history community is – or ought to be – bigger than just its school lessons: it should involve and engage academics who might want to think as deeply about how the subject is taught to 13-year-olds as to undergraduates and PhD students; writers outside the academy who might want to produce new books – not just textbooks – but for the digital age, integrating the kinds of sources that can be put without straining too many resources, on every student's laptop, or even smartphone; the many devoted curators and custodians of historic sites and museums. And, not least, the reform and rejuvenation of history as a living breathing subject ought to involve parents, who, after all, are themselves, one hopes, the first storytellers their children listened to.</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Of course, the first obligation parents will feel towards their children, beyond their safety, is that they be equipped with the skills and knowledge needed to earn their living in a world in which that task gets harder by the day. But caring parents, whatever their means, and wherever they live, surely have another concern too, beyond the exigencies of pounds and pence: that their children come to understand that the value of the house they live in is not measured by square footage, the size of the car or the number of electronic machines whirring and flashing in room after room, but the wealth of its memories, the abundance of its shared stories; for it is from that history that we recognise our membership of a common family. Like all other families, it will row and rage and seldom sing from the same page. But somehow that common memory will make it pause before it tears itself apart and shreds the future to ribbons.</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b/>
          <w:bCs/>
          <w:color w:val="000000"/>
          <w:sz w:val="20"/>
          <w:szCs w:val="20"/>
          <w:lang w:eastAsia="tr-TR"/>
        </w:rPr>
        <w:t>What every child should learn:</w:t>
      </w:r>
    </w:p>
    <w:p w:rsidR="00B420E7" w:rsidRPr="00B420E7" w:rsidRDefault="00B420E7" w:rsidP="00B420E7">
      <w:pPr>
        <w:spacing w:after="0" w:line="240" w:lineRule="auto"/>
        <w:ind w:left="360" w:hanging="360"/>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1.</w:t>
      </w:r>
      <w:r w:rsidRPr="00B420E7">
        <w:rPr>
          <w:rFonts w:ascii="Times New Roman" w:eastAsia="Times New Roman" w:hAnsi="Times New Roman" w:cs="Times New Roman"/>
          <w:color w:val="000000"/>
          <w:sz w:val="14"/>
          <w:szCs w:val="14"/>
          <w:lang w:eastAsia="tr-TR"/>
        </w:rPr>
        <w:t>       </w:t>
      </w:r>
      <w:r w:rsidRPr="00B420E7">
        <w:rPr>
          <w:rFonts w:ascii="Arial" w:eastAsia="Times New Roman" w:hAnsi="Arial" w:cs="Arial"/>
          <w:color w:val="000000"/>
          <w:sz w:val="20"/>
          <w:szCs w:val="20"/>
          <w:lang w:eastAsia="tr-TR"/>
        </w:rPr>
        <w:t>Murder in the cathedral: The whole showdown between religious and royal/secular ideas of law and sovereignty embodied in the persons of Thomas Becket and Henry II. This could hardly be more relevant in our contemporary world, where secular law and authority are asked to submit to religious law. And a thrilling story, given that Becket goes from being the king's right-hand man to his indefatigable opponent. What kind of conversion was that? The story of Henry's penitence and the establishment of a martyr legend is just as riveting.</w:t>
      </w:r>
    </w:p>
    <w:p w:rsidR="00B420E7" w:rsidRPr="00B420E7" w:rsidRDefault="00B420E7" w:rsidP="00B420E7">
      <w:pPr>
        <w:spacing w:after="0" w:line="240" w:lineRule="auto"/>
        <w:ind w:left="360" w:hanging="360"/>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2.</w:t>
      </w:r>
      <w:r w:rsidRPr="00B420E7">
        <w:rPr>
          <w:rFonts w:ascii="Times New Roman" w:eastAsia="Times New Roman" w:hAnsi="Times New Roman" w:cs="Times New Roman"/>
          <w:color w:val="000000"/>
          <w:sz w:val="14"/>
          <w:szCs w:val="14"/>
          <w:lang w:eastAsia="tr-TR"/>
        </w:rPr>
        <w:t>       </w:t>
      </w:r>
      <w:r w:rsidRPr="00B420E7">
        <w:rPr>
          <w:rFonts w:ascii="Arial" w:eastAsia="Times New Roman" w:hAnsi="Arial" w:cs="Arial"/>
          <w:color w:val="000000"/>
          <w:sz w:val="20"/>
          <w:szCs w:val="20"/>
          <w:lang w:eastAsia="tr-TR"/>
        </w:rPr>
        <w:t>The black Death, and the peasants revolt in the reign of Richard II: how did society deal with the arrival of a terrifying pandemic? (Are we any more prepared?) How did the plague change society among rich and poor. Was there any connection between the trauma and a rebellion that took over the capital?</w:t>
      </w:r>
    </w:p>
    <w:p w:rsidR="00B420E7" w:rsidRPr="00B420E7" w:rsidRDefault="00B420E7" w:rsidP="00B420E7">
      <w:pPr>
        <w:spacing w:after="0" w:line="240" w:lineRule="auto"/>
        <w:ind w:left="360" w:hanging="360"/>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3.</w:t>
      </w:r>
      <w:r w:rsidRPr="00B420E7">
        <w:rPr>
          <w:rFonts w:ascii="Times New Roman" w:eastAsia="Times New Roman" w:hAnsi="Times New Roman" w:cs="Times New Roman"/>
          <w:color w:val="000000"/>
          <w:sz w:val="14"/>
          <w:szCs w:val="14"/>
          <w:lang w:eastAsia="tr-TR"/>
        </w:rPr>
        <w:t>       </w:t>
      </w:r>
      <w:r w:rsidRPr="00B420E7">
        <w:rPr>
          <w:rFonts w:ascii="Arial" w:eastAsia="Times New Roman" w:hAnsi="Arial" w:cs="Arial"/>
          <w:color w:val="000000"/>
          <w:sz w:val="20"/>
          <w:szCs w:val="20"/>
          <w:lang w:eastAsia="tr-TR"/>
        </w:rPr>
        <w:t>The execution of King Charles I: how did Britain get from a country that revered its monarch to one that cut off his head? How could a total British war – fought in Ireland, Scotland and Wales, as well as England – happen over religion?! What happened when whole families divided in civil war? What was it like for Britain to be governed by a non-royal who turned quasi-dictator? Why did the official campaign to abolish Christmas fail? The really big question is why this most thrilling, terrifying epic moment in British history, seldom gets classroom time.</w:t>
      </w:r>
    </w:p>
    <w:p w:rsidR="00B420E7" w:rsidRPr="00B420E7" w:rsidRDefault="00B420E7" w:rsidP="00B420E7">
      <w:pPr>
        <w:spacing w:after="0" w:line="240" w:lineRule="auto"/>
        <w:ind w:left="360" w:hanging="360"/>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4.</w:t>
      </w:r>
      <w:r w:rsidRPr="00B420E7">
        <w:rPr>
          <w:rFonts w:ascii="Times New Roman" w:eastAsia="Times New Roman" w:hAnsi="Times New Roman" w:cs="Times New Roman"/>
          <w:color w:val="000000"/>
          <w:sz w:val="14"/>
          <w:szCs w:val="14"/>
          <w:lang w:eastAsia="tr-TR"/>
        </w:rPr>
        <w:t>       </w:t>
      </w:r>
      <w:r w:rsidRPr="00B420E7">
        <w:rPr>
          <w:rFonts w:ascii="Arial" w:eastAsia="Times New Roman" w:hAnsi="Arial" w:cs="Arial"/>
          <w:color w:val="000000"/>
          <w:sz w:val="20"/>
          <w:szCs w:val="20"/>
          <w:lang w:eastAsia="tr-TR"/>
        </w:rPr>
        <w:t>The Indian moment: how was it that a country throwing its weight around the world's oceans got kicked out of most of America but in two generations came to rule an immense part of the subcontinent? Any class would want to know about the cunning-crazed Robert Clive; to look again at Siraj ud Daula and the tragic ruin that Warren Hastings became, not to mention stories of Brits who defied the race and culture barrier by wearing Indian dress, speaking Indian languages; illicitly marrying Indian princesses.</w:t>
      </w:r>
    </w:p>
    <w:p w:rsidR="00B420E7" w:rsidRPr="00B420E7" w:rsidRDefault="00B420E7" w:rsidP="00B420E7">
      <w:pPr>
        <w:spacing w:after="0" w:line="240" w:lineRule="auto"/>
        <w:ind w:left="360" w:hanging="360"/>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5.</w:t>
      </w:r>
      <w:r w:rsidRPr="00B420E7">
        <w:rPr>
          <w:rFonts w:ascii="Times New Roman" w:eastAsia="Times New Roman" w:hAnsi="Times New Roman" w:cs="Times New Roman"/>
          <w:color w:val="000000"/>
          <w:sz w:val="14"/>
          <w:szCs w:val="14"/>
          <w:lang w:eastAsia="tr-TR"/>
        </w:rPr>
        <w:t>       </w:t>
      </w:r>
      <w:r w:rsidRPr="00B420E7">
        <w:rPr>
          <w:rFonts w:ascii="Arial" w:eastAsia="Times New Roman" w:hAnsi="Arial" w:cs="Arial"/>
          <w:color w:val="000000"/>
          <w:sz w:val="20"/>
          <w:szCs w:val="20"/>
          <w:lang w:eastAsia="tr-TR"/>
        </w:rPr>
        <w:t>The Irish wars: William Gladstone, Charles Parnell and the Irish wars – the subject that never goes away! Two heroic and, in their own ways, tragic figures. Could it ever have worked out peacefully?</w:t>
      </w:r>
    </w:p>
    <w:p w:rsidR="00B420E7" w:rsidRPr="00B420E7" w:rsidRDefault="00B420E7" w:rsidP="00B420E7">
      <w:pPr>
        <w:spacing w:after="0" w:line="240" w:lineRule="auto"/>
        <w:ind w:left="360" w:hanging="360"/>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lastRenderedPageBreak/>
        <w:t>6.</w:t>
      </w:r>
      <w:r w:rsidRPr="00B420E7">
        <w:rPr>
          <w:rFonts w:ascii="Times New Roman" w:eastAsia="Times New Roman" w:hAnsi="Times New Roman" w:cs="Times New Roman"/>
          <w:color w:val="000000"/>
          <w:sz w:val="14"/>
          <w:szCs w:val="14"/>
          <w:lang w:eastAsia="tr-TR"/>
        </w:rPr>
        <w:t>       </w:t>
      </w:r>
      <w:r w:rsidRPr="00B420E7">
        <w:rPr>
          <w:rFonts w:ascii="Arial" w:eastAsia="Times New Roman" w:hAnsi="Arial" w:cs="Arial"/>
          <w:color w:val="000000"/>
          <w:sz w:val="20"/>
          <w:szCs w:val="20"/>
          <w:lang w:eastAsia="tr-TR"/>
        </w:rPr>
        <w:t>The opium wars and China: Victorian Britain using the royal navy to protect hard drug trafficking? True!</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 </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Simon Schama</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r w:rsidRPr="00B420E7">
        <w:rPr>
          <w:rFonts w:ascii="Arial" w:eastAsia="Times New Roman" w:hAnsi="Arial" w:cs="Arial"/>
          <w:color w:val="000000"/>
          <w:sz w:val="20"/>
          <w:szCs w:val="20"/>
          <w:lang w:eastAsia="tr-TR"/>
        </w:rPr>
        <w:t>The Guardian, Tuesday 9 November 2010</w:t>
      </w:r>
    </w:p>
    <w:p w:rsidR="00B420E7" w:rsidRPr="00B420E7" w:rsidRDefault="00B420E7" w:rsidP="00B420E7">
      <w:pPr>
        <w:spacing w:after="0" w:line="240" w:lineRule="auto"/>
        <w:jc w:val="both"/>
        <w:rPr>
          <w:rFonts w:ascii="Arial" w:eastAsia="Times New Roman" w:hAnsi="Arial" w:cs="Arial"/>
          <w:color w:val="000000"/>
          <w:sz w:val="16"/>
          <w:szCs w:val="16"/>
          <w:lang w:eastAsia="tr-TR"/>
        </w:rPr>
      </w:pPr>
      <w:hyperlink r:id="rId7" w:history="1">
        <w:r w:rsidRPr="00B420E7">
          <w:rPr>
            <w:rFonts w:ascii="Arial" w:eastAsia="Times New Roman" w:hAnsi="Arial" w:cs="Arial"/>
            <w:color w:val="0000FF"/>
            <w:sz w:val="20"/>
            <w:szCs w:val="20"/>
            <w:u w:val="single"/>
            <w:lang w:eastAsia="tr-TR"/>
          </w:rPr>
          <w:t>http://www.guardian.co.uk/education/2010/nov/09/future-history-schools</w:t>
        </w:r>
      </w:hyperlink>
    </w:p>
    <w:p w:rsidR="00B420E7" w:rsidRPr="00B420E7" w:rsidRDefault="00B420E7">
      <w:pPr>
        <w:rPr>
          <w:b/>
          <w:sz w:val="28"/>
        </w:rPr>
      </w:pPr>
    </w:p>
    <w:sectPr w:rsidR="00B420E7" w:rsidRPr="00B420E7" w:rsidSect="00B420E7">
      <w:pgSz w:w="11906" w:h="16838"/>
      <w:pgMar w:top="568"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144B2" w:rsidRDefault="00A144B2" w:rsidP="00B420E7">
      <w:pPr>
        <w:spacing w:after="0" w:line="240" w:lineRule="auto"/>
      </w:pPr>
      <w:r>
        <w:separator/>
      </w:r>
    </w:p>
  </w:endnote>
  <w:endnote w:type="continuationSeparator" w:id="0">
    <w:p w:rsidR="00A144B2" w:rsidRDefault="00A144B2" w:rsidP="00B420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144B2" w:rsidRDefault="00A144B2" w:rsidP="00B420E7">
      <w:pPr>
        <w:spacing w:after="0" w:line="240" w:lineRule="auto"/>
      </w:pPr>
      <w:r>
        <w:separator/>
      </w:r>
    </w:p>
  </w:footnote>
  <w:footnote w:type="continuationSeparator" w:id="0">
    <w:p w:rsidR="00A144B2" w:rsidRDefault="00A144B2" w:rsidP="00B420E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20E7"/>
    <w:rsid w:val="00A144B2"/>
    <w:rsid w:val="00B420E7"/>
    <w:rsid w:val="00D32E5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C45CE5A"/>
  <w15:chartTrackingRefBased/>
  <w15:docId w15:val="{D7829260-BD39-41DC-A95F-09D205C251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Gl">
    <w:name w:val="Strong"/>
    <w:basedOn w:val="VarsaylanParagrafYazTipi"/>
    <w:uiPriority w:val="22"/>
    <w:qFormat/>
    <w:rsid w:val="00B420E7"/>
    <w:rPr>
      <w:b/>
      <w:bCs/>
    </w:rPr>
  </w:style>
  <w:style w:type="character" w:styleId="Kpr">
    <w:name w:val="Hyperlink"/>
    <w:basedOn w:val="VarsaylanParagrafYazTipi"/>
    <w:uiPriority w:val="99"/>
    <w:unhideWhenUsed/>
    <w:rsid w:val="00B420E7"/>
    <w:rPr>
      <w:color w:val="0000FF"/>
      <w:u w:val="single"/>
    </w:rPr>
  </w:style>
  <w:style w:type="paragraph" w:styleId="stBilgi">
    <w:name w:val="header"/>
    <w:basedOn w:val="Normal"/>
    <w:link w:val="stBilgiChar"/>
    <w:uiPriority w:val="99"/>
    <w:unhideWhenUsed/>
    <w:rsid w:val="00B420E7"/>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B420E7"/>
  </w:style>
  <w:style w:type="paragraph" w:styleId="AltBilgi">
    <w:name w:val="footer"/>
    <w:basedOn w:val="Normal"/>
    <w:link w:val="AltBilgiChar"/>
    <w:uiPriority w:val="99"/>
    <w:unhideWhenUsed/>
    <w:rsid w:val="00B420E7"/>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B420E7"/>
  </w:style>
  <w:style w:type="character" w:customStyle="1" w:styleId="grame">
    <w:name w:val="grame"/>
    <w:basedOn w:val="VarsaylanParagrafYazTipi"/>
    <w:rsid w:val="00B420E7"/>
  </w:style>
  <w:style w:type="character" w:customStyle="1" w:styleId="spelle">
    <w:name w:val="spelle"/>
    <w:basedOn w:val="VarsaylanParagrafYazTipi"/>
    <w:rsid w:val="00B420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5509778">
      <w:bodyDiv w:val="1"/>
      <w:marLeft w:val="0"/>
      <w:marRight w:val="0"/>
      <w:marTop w:val="0"/>
      <w:marBottom w:val="0"/>
      <w:divBdr>
        <w:top w:val="none" w:sz="0" w:space="0" w:color="auto"/>
        <w:left w:val="none" w:sz="0" w:space="0" w:color="auto"/>
        <w:bottom w:val="none" w:sz="0" w:space="0" w:color="auto"/>
        <w:right w:val="none" w:sz="0" w:space="0" w:color="auto"/>
      </w:divBdr>
    </w:div>
    <w:div w:id="397823449">
      <w:bodyDiv w:val="1"/>
      <w:marLeft w:val="0"/>
      <w:marRight w:val="0"/>
      <w:marTop w:val="0"/>
      <w:marBottom w:val="0"/>
      <w:divBdr>
        <w:top w:val="none" w:sz="0" w:space="0" w:color="auto"/>
        <w:left w:val="none" w:sz="0" w:space="0" w:color="auto"/>
        <w:bottom w:val="none" w:sz="0" w:space="0" w:color="auto"/>
        <w:right w:val="none" w:sz="0" w:space="0" w:color="auto"/>
      </w:divBdr>
    </w:div>
    <w:div w:id="571352945">
      <w:bodyDiv w:val="1"/>
      <w:marLeft w:val="0"/>
      <w:marRight w:val="0"/>
      <w:marTop w:val="0"/>
      <w:marBottom w:val="0"/>
      <w:divBdr>
        <w:top w:val="none" w:sz="0" w:space="0" w:color="auto"/>
        <w:left w:val="none" w:sz="0" w:space="0" w:color="auto"/>
        <w:bottom w:val="none" w:sz="0" w:space="0" w:color="auto"/>
        <w:right w:val="none" w:sz="0" w:space="0" w:color="auto"/>
      </w:divBdr>
    </w:div>
    <w:div w:id="588317521">
      <w:bodyDiv w:val="1"/>
      <w:marLeft w:val="0"/>
      <w:marRight w:val="0"/>
      <w:marTop w:val="0"/>
      <w:marBottom w:val="0"/>
      <w:divBdr>
        <w:top w:val="none" w:sz="0" w:space="0" w:color="auto"/>
        <w:left w:val="none" w:sz="0" w:space="0" w:color="auto"/>
        <w:bottom w:val="none" w:sz="0" w:space="0" w:color="auto"/>
        <w:right w:val="none" w:sz="0" w:space="0" w:color="auto"/>
      </w:divBdr>
    </w:div>
    <w:div w:id="1359550933">
      <w:bodyDiv w:val="1"/>
      <w:marLeft w:val="0"/>
      <w:marRight w:val="0"/>
      <w:marTop w:val="0"/>
      <w:marBottom w:val="0"/>
      <w:divBdr>
        <w:top w:val="none" w:sz="0" w:space="0" w:color="auto"/>
        <w:left w:val="none" w:sz="0" w:space="0" w:color="auto"/>
        <w:bottom w:val="none" w:sz="0" w:space="0" w:color="auto"/>
        <w:right w:val="none" w:sz="0" w:space="0" w:color="auto"/>
      </w:divBdr>
    </w:div>
    <w:div w:id="1379740016">
      <w:bodyDiv w:val="1"/>
      <w:marLeft w:val="0"/>
      <w:marRight w:val="0"/>
      <w:marTop w:val="0"/>
      <w:marBottom w:val="0"/>
      <w:divBdr>
        <w:top w:val="none" w:sz="0" w:space="0" w:color="auto"/>
        <w:left w:val="none" w:sz="0" w:space="0" w:color="auto"/>
        <w:bottom w:val="none" w:sz="0" w:space="0" w:color="auto"/>
        <w:right w:val="none" w:sz="0" w:space="0" w:color="auto"/>
      </w:divBdr>
    </w:div>
    <w:div w:id="1809786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guardian.co.uk/education/2010/nov/09/future-history-school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mrhoyestokwebsite.com/AOKs/History/Related%20Articles/Is%20This%20History.pdf"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18</Pages>
  <Words>13940</Words>
  <Characters>70677</Characters>
  <Application>Microsoft Office Word</Application>
  <DocSecurity>0</DocSecurity>
  <Lines>1087</Lines>
  <Paragraphs>206</Paragraphs>
  <ScaleCrop>false</ScaleCrop>
  <Company/>
  <LinksUpToDate>false</LinksUpToDate>
  <CharactersWithSpaces>84411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Gözde Torun</dc:creator>
  <cp:keywords/>
  <dc:description/>
  <cp:lastModifiedBy>Gözde Torun</cp:lastModifiedBy>
  <cp:revision>1</cp:revision>
  <dcterms:created xsi:type="dcterms:W3CDTF">2025-10-05T13:30:00Z</dcterms:created>
  <dcterms:modified xsi:type="dcterms:W3CDTF">2025-10-05T13:37:00Z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f658017f-c53d-4f31-ab39-b2c244cd87c6</vt:lpwstr>
  </property>
</Properties>
</file>